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7A9C" w14:textId="77777777" w:rsidR="003B0891" w:rsidRDefault="003B0891" w:rsidP="003B0891">
      <w:pPr>
        <w:spacing w:after="0" w:line="240" w:lineRule="auto"/>
        <w:jc w:val="right"/>
        <w:rPr>
          <w:b/>
          <w:color w:val="003F72"/>
          <w:sz w:val="28"/>
          <w:szCs w:val="28"/>
        </w:rPr>
      </w:pPr>
      <w:r>
        <w:rPr>
          <w:rFonts w:ascii="Arial" w:hAnsi="Arial"/>
          <w:noProof/>
          <w:color w:val="244061" w:themeColor="accent1" w:themeShade="80"/>
        </w:rPr>
        <mc:AlternateContent>
          <mc:Choice Requires="wps">
            <w:drawing>
              <wp:anchor distT="0" distB="0" distL="114300" distR="114300" simplePos="0" relativeHeight="251693056" behindDoc="0" locked="0" layoutInCell="1" allowOverlap="1" wp14:anchorId="3F8B90E0" wp14:editId="6841BF8F">
                <wp:simplePos x="0" y="0"/>
                <wp:positionH relativeFrom="margin">
                  <wp:posOffset>2806700</wp:posOffset>
                </wp:positionH>
                <wp:positionV relativeFrom="paragraph">
                  <wp:posOffset>-128905</wp:posOffset>
                </wp:positionV>
                <wp:extent cx="4206240" cy="914400"/>
                <wp:effectExtent l="0" t="0" r="3810" b="0"/>
                <wp:wrapNone/>
                <wp:docPr id="23" name="Text Box 23"/>
                <wp:cNvGraphicFramePr/>
                <a:graphic xmlns:a="http://schemas.openxmlformats.org/drawingml/2006/main">
                  <a:graphicData uri="http://schemas.microsoft.com/office/word/2010/wordprocessingShape">
                    <wps:wsp>
                      <wps:cNvSpPr txBox="1"/>
                      <wps:spPr>
                        <a:xfrm>
                          <a:off x="0" y="0"/>
                          <a:ext cx="4206240" cy="914400"/>
                        </a:xfrm>
                        <a:prstGeom prst="rect">
                          <a:avLst/>
                        </a:prstGeom>
                        <a:solidFill>
                          <a:schemeClr val="lt1"/>
                        </a:solidFill>
                        <a:ln w="6350">
                          <a:noFill/>
                        </a:ln>
                      </wps:spPr>
                      <wps:txbx>
                        <w:txbxContent>
                          <w:p w14:paraId="290DBD8E" w14:textId="77777777" w:rsidR="000659C9"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LIMBIC-CENC Clinical Care Monograph Version 2</w:t>
                            </w:r>
                          </w:p>
                          <w:p w14:paraId="232A230C" w14:textId="5310929B" w:rsidR="003B0891" w:rsidRPr="001D5B1C" w:rsidRDefault="000659C9" w:rsidP="003B0891">
                            <w:pPr>
                              <w:shd w:val="clear" w:color="auto" w:fill="DBE5F1" w:themeFill="accent1" w:themeFillTint="33"/>
                              <w:spacing w:after="0" w:line="240" w:lineRule="auto"/>
                              <w:rPr>
                                <w:b/>
                                <w:color w:val="003F72"/>
                                <w:sz w:val="24"/>
                                <w:szCs w:val="26"/>
                              </w:rPr>
                            </w:pPr>
                            <w:r>
                              <w:rPr>
                                <w:b/>
                                <w:color w:val="003F72"/>
                                <w:sz w:val="28"/>
                                <w:szCs w:val="26"/>
                              </w:rPr>
                              <w:t>G</w:t>
                            </w:r>
                            <w:r w:rsidR="003B0891" w:rsidRPr="001D5B1C">
                              <w:rPr>
                                <w:b/>
                                <w:color w:val="003F72"/>
                                <w:sz w:val="28"/>
                                <w:szCs w:val="26"/>
                              </w:rPr>
                              <w:t xml:space="preserve">. TBI and </w:t>
                            </w:r>
                            <w:r>
                              <w:rPr>
                                <w:b/>
                                <w:color w:val="003F72"/>
                                <w:sz w:val="28"/>
                                <w:szCs w:val="26"/>
                              </w:rPr>
                              <w:t>Military Service</w:t>
                            </w:r>
                          </w:p>
                          <w:p w14:paraId="228F35A3"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6B09837B"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8B90E0" id="Text Box 23" o:spid="_x0000_s1032" type="#_x0000_t202" style="position:absolute;left:0;text-align:left;margin-left:221pt;margin-top:-10.15pt;width:331.2pt;height:1in;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" fillcolor="white [3201]" stroked="f" strokeweight=".5pt">
                <v:textbox>
                  <w:txbxContent>
                    <w:p w14:paraId="290DBD8E" w14:textId="77777777" w:rsidR="000659C9"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LIMBIC-CENC Clinical Care Monograph Version 2</w:t>
                      </w:r>
                    </w:p>
                    <w:p w14:paraId="232A230C" w14:textId="5310929B" w:rsidR="003B0891" w:rsidRPr="001D5B1C" w:rsidRDefault="000659C9" w:rsidP="003B0891">
                      <w:pPr>
                        <w:shd w:val="clear" w:color="auto" w:fill="DBE5F1" w:themeFill="accent1" w:themeFillTint="33"/>
                        <w:spacing w:after="0" w:line="240" w:lineRule="auto"/>
                        <w:rPr>
                          <w:b/>
                          <w:color w:val="003F72"/>
                          <w:sz w:val="24"/>
                          <w:szCs w:val="26"/>
                        </w:rPr>
                      </w:pPr>
                      <w:r>
                        <w:rPr>
                          <w:b/>
                          <w:color w:val="003F72"/>
                          <w:sz w:val="28"/>
                          <w:szCs w:val="26"/>
                        </w:rPr>
                        <w:t>G</w:t>
                      </w:r>
                      <w:r w:rsidR="003B0891" w:rsidRPr="001D5B1C">
                        <w:rPr>
                          <w:b/>
                          <w:color w:val="003F72"/>
                          <w:sz w:val="28"/>
                          <w:szCs w:val="26"/>
                        </w:rPr>
                        <w:t xml:space="preserve">. TBI and </w:t>
                      </w:r>
                      <w:r>
                        <w:rPr>
                          <w:b/>
                          <w:color w:val="003F72"/>
                          <w:sz w:val="28"/>
                          <w:szCs w:val="26"/>
                        </w:rPr>
                        <w:t>Military Service</w:t>
                      </w:r>
                    </w:p>
                    <w:p w14:paraId="228F35A3"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6B09837B"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v:textbox>
                <w10:wrap anchorx="margin"/>
              </v:shape>
            </w:pict>
          </mc:Fallback>
        </mc:AlternateContent>
      </w:r>
      <w:r w:rsidRPr="0092099D">
        <w:rPr>
          <w:rFonts w:ascii="Arial" w:hAnsi="Arial"/>
          <w:noProof/>
          <w:color w:val="244061" w:themeColor="accent1" w:themeShade="80"/>
        </w:rPr>
        <w:drawing>
          <wp:anchor distT="0" distB="0" distL="114300" distR="114300" simplePos="0" relativeHeight="251692032" behindDoc="1" locked="0" layoutInCell="1" allowOverlap="0" wp14:anchorId="3D5EB727" wp14:editId="75A523B7">
            <wp:simplePos x="0" y="0"/>
            <wp:positionH relativeFrom="margin">
              <wp:align>left</wp:align>
            </wp:positionH>
            <wp:positionV relativeFrom="margin">
              <wp:posOffset>-227965</wp:posOffset>
            </wp:positionV>
            <wp:extent cx="2640067" cy="1097280"/>
            <wp:effectExtent l="0" t="0" r="0" b="0"/>
            <wp:wrapTight wrapText="right">
              <wp:wrapPolygon edited="0">
                <wp:start x="1247" y="2250"/>
                <wp:lineTo x="779" y="4125"/>
                <wp:lineTo x="624" y="16875"/>
                <wp:lineTo x="1715" y="18375"/>
                <wp:lineTo x="3118" y="19125"/>
                <wp:lineTo x="4832" y="19125"/>
                <wp:lineTo x="19173" y="18000"/>
                <wp:lineTo x="19953" y="15750"/>
                <wp:lineTo x="18394" y="15000"/>
                <wp:lineTo x="21356" y="9375"/>
                <wp:lineTo x="21356" y="4125"/>
                <wp:lineTo x="21044" y="2250"/>
                <wp:lineTo x="1247" y="225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0067" cy="109728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62059760" w14:textId="77777777" w:rsidR="003B0891" w:rsidRPr="00394619" w:rsidRDefault="003B0891" w:rsidP="003B0891">
      <w:pPr>
        <w:spacing w:after="0" w:line="240" w:lineRule="auto"/>
        <w:jc w:val="right"/>
        <w:rPr>
          <w:b/>
          <w:color w:val="003F72"/>
          <w:sz w:val="28"/>
          <w:szCs w:val="28"/>
        </w:rPr>
      </w:pPr>
    </w:p>
    <w:p w14:paraId="0B8D1C83" w14:textId="77777777" w:rsidR="003B0891" w:rsidRPr="008B6319" w:rsidRDefault="003B0891" w:rsidP="003B0891">
      <w:pPr>
        <w:spacing w:after="0" w:line="240" w:lineRule="auto"/>
        <w:jc w:val="right"/>
        <w:rPr>
          <w:sz w:val="24"/>
          <w:szCs w:val="24"/>
        </w:rPr>
      </w:pPr>
    </w:p>
    <w:p w14:paraId="465AD495" w14:textId="77777777" w:rsidR="004F36F7" w:rsidRDefault="004F36F7" w:rsidP="00775205">
      <w:pPr>
        <w:pStyle w:val="ListParagraph"/>
        <w:spacing w:after="0" w:line="240" w:lineRule="auto"/>
        <w:ind w:left="0"/>
        <w:jc w:val="both"/>
        <w:outlineLvl w:val="0"/>
        <w:rPr>
          <w:bCs/>
          <w:sz w:val="24"/>
          <w:szCs w:val="24"/>
        </w:rPr>
      </w:pPr>
    </w:p>
    <w:p w14:paraId="21C8E9F9" w14:textId="427E4071" w:rsidR="006E5B92" w:rsidRPr="00E82CA1" w:rsidRDefault="00E82CA1" w:rsidP="00E82CA1">
      <w:pPr>
        <w:keepNext/>
        <w:keepLines/>
        <w:pBdr>
          <w:top w:val="double" w:sz="6" w:space="1" w:color="003F72"/>
          <w:left w:val="double" w:sz="6" w:space="4" w:color="003F72"/>
          <w:bottom w:val="double" w:sz="6" w:space="1" w:color="003F72"/>
          <w:right w:val="double" w:sz="6" w:space="4" w:color="003F72"/>
        </w:pBdr>
        <w:shd w:val="clear" w:color="auto" w:fill="003F72"/>
        <w:spacing w:after="120" w:line="240" w:lineRule="auto"/>
        <w:rPr>
          <w:b/>
          <w:color w:val="FFFFFF" w:themeColor="background1"/>
          <w:sz w:val="28"/>
          <w:szCs w:val="24"/>
        </w:rPr>
      </w:pPr>
      <w:r>
        <w:rPr>
          <w:b/>
          <w:color w:val="FFFFFF" w:themeColor="background1"/>
          <w:sz w:val="28"/>
          <w:szCs w:val="24"/>
        </w:rPr>
        <w:t xml:space="preserve">G. </w:t>
      </w:r>
      <w:bookmarkStart w:id="0" w:name="_GoBack"/>
      <w:bookmarkEnd w:id="0"/>
      <w:r w:rsidR="006E5B92" w:rsidRPr="00E82CA1">
        <w:rPr>
          <w:b/>
          <w:color w:val="FFFFFF" w:themeColor="background1"/>
          <w:sz w:val="28"/>
          <w:szCs w:val="24"/>
        </w:rPr>
        <w:t>TBI</w:t>
      </w:r>
      <w:r w:rsidR="00085407" w:rsidRPr="00E82CA1">
        <w:rPr>
          <w:b/>
          <w:color w:val="FFFFFF" w:themeColor="background1"/>
          <w:sz w:val="28"/>
          <w:szCs w:val="24"/>
        </w:rPr>
        <w:t xml:space="preserve"> and Military Service</w:t>
      </w:r>
    </w:p>
    <w:p w14:paraId="57FA56E7" w14:textId="77777777" w:rsidR="006E5B92" w:rsidRPr="00A30748" w:rsidRDefault="006E5B92" w:rsidP="00A30748">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A30748">
        <w:rPr>
          <w:b/>
          <w:color w:val="1F497D" w:themeColor="text2"/>
          <w:sz w:val="28"/>
          <w:szCs w:val="24"/>
        </w:rPr>
        <w:t>Key Findings</w:t>
      </w:r>
    </w:p>
    <w:p w14:paraId="10E3D256" w14:textId="7741D054" w:rsidR="00C97BBD" w:rsidRDefault="00C97BBD" w:rsidP="00C97BBD">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A53D33">
        <w:rPr>
          <w:b/>
          <w:sz w:val="24"/>
          <w:szCs w:val="24"/>
        </w:rPr>
        <w:t>Deployment Status</w:t>
      </w:r>
      <w:r w:rsidR="00085407" w:rsidRPr="00085407">
        <w:rPr>
          <w:b/>
          <w:sz w:val="24"/>
          <w:szCs w:val="24"/>
        </w:rPr>
        <w:t xml:space="preserve"> </w:t>
      </w:r>
      <w:r w:rsidR="00085407">
        <w:rPr>
          <w:b/>
          <w:sz w:val="24"/>
          <w:szCs w:val="24"/>
        </w:rPr>
        <w:t xml:space="preserve">and </w:t>
      </w:r>
      <w:r w:rsidR="00085407" w:rsidRPr="00A53D33">
        <w:rPr>
          <w:b/>
          <w:sz w:val="24"/>
          <w:szCs w:val="24"/>
        </w:rPr>
        <w:t xml:space="preserve">TBI </w:t>
      </w:r>
      <w:r w:rsidR="00085407">
        <w:rPr>
          <w:b/>
          <w:sz w:val="24"/>
          <w:szCs w:val="24"/>
        </w:rPr>
        <w:t>Risk</w:t>
      </w:r>
      <w:r w:rsidRPr="00A53D33">
        <w:rPr>
          <w:sz w:val="24"/>
          <w:szCs w:val="24"/>
        </w:rPr>
        <w:t>. LIMBIC-CENC researchers found that deployed S</w:t>
      </w:r>
      <w:r w:rsidR="00E86B79">
        <w:rPr>
          <w:sz w:val="24"/>
          <w:szCs w:val="24"/>
        </w:rPr>
        <w:t xml:space="preserve">ervice </w:t>
      </w:r>
      <w:r w:rsidRPr="00A53D33">
        <w:rPr>
          <w:sz w:val="24"/>
          <w:szCs w:val="24"/>
        </w:rPr>
        <w:t>M</w:t>
      </w:r>
      <w:r w:rsidR="00E86B79">
        <w:rPr>
          <w:sz w:val="24"/>
          <w:szCs w:val="24"/>
        </w:rPr>
        <w:t>ember</w:t>
      </w:r>
      <w:r w:rsidRPr="00A53D33">
        <w:rPr>
          <w:sz w:val="24"/>
          <w:szCs w:val="24"/>
        </w:rPr>
        <w:t xml:space="preserve">s </w:t>
      </w:r>
      <w:r w:rsidR="00696669">
        <w:rPr>
          <w:sz w:val="24"/>
          <w:szCs w:val="24"/>
        </w:rPr>
        <w:t>we</w:t>
      </w:r>
      <w:r w:rsidRPr="00A53D33">
        <w:rPr>
          <w:sz w:val="24"/>
          <w:szCs w:val="24"/>
        </w:rPr>
        <w:t xml:space="preserve">re 7 times more likely than non-deployed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to screen positive for any level of TBI severity. 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w:t>
      </w:r>
      <w:r w:rsidR="00696669">
        <w:rPr>
          <w:sz w:val="24"/>
          <w:szCs w:val="24"/>
        </w:rPr>
        <w:t>we</w:t>
      </w:r>
      <w:r w:rsidRPr="00A53D33">
        <w:rPr>
          <w:sz w:val="24"/>
          <w:szCs w:val="24"/>
        </w:rPr>
        <w:t xml:space="preserve">re 5.5 times more likely to have a mTBI and 3 times more likely to have a moderate-severe TBI. 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A53D33">
        <w:rPr>
          <w:sz w:val="24"/>
          <w:szCs w:val="24"/>
        </w:rPr>
        <w:t xml:space="preserve"> </w:t>
      </w:r>
      <w:r w:rsidR="00696669">
        <w:rPr>
          <w:sz w:val="24"/>
          <w:szCs w:val="24"/>
        </w:rPr>
        <w:t>we</w:t>
      </w:r>
      <w:r w:rsidRPr="00A53D33">
        <w:rPr>
          <w:sz w:val="24"/>
          <w:szCs w:val="24"/>
        </w:rPr>
        <w:t>re 3 times more likely to sustain spinal injury.</w:t>
      </w:r>
      <w:r w:rsidR="00E86B79" w:rsidRPr="00E86B79">
        <w:rPr>
          <w:sz w:val="24"/>
          <w:szCs w:val="24"/>
          <w:vertAlign w:val="superscript"/>
        </w:rPr>
        <w:t>1</w:t>
      </w:r>
      <w:r w:rsidRPr="00A53D33">
        <w:rPr>
          <w:sz w:val="24"/>
          <w:szCs w:val="24"/>
        </w:rPr>
        <w:t xml:space="preserve"> </w:t>
      </w:r>
      <w:r>
        <w:rPr>
          <w:sz w:val="24"/>
          <w:szCs w:val="24"/>
        </w:rPr>
        <w:t>In the long-term, Veterans who were d</w:t>
      </w:r>
      <w:r w:rsidRPr="00A53D33">
        <w:rPr>
          <w:sz w:val="24"/>
          <w:szCs w:val="24"/>
        </w:rPr>
        <w:t xml:space="preserve">eployed </w:t>
      </w:r>
      <w:r>
        <w:rPr>
          <w:sz w:val="24"/>
          <w:szCs w:val="24"/>
        </w:rPr>
        <w:t xml:space="preserve">are more </w:t>
      </w:r>
      <w:r w:rsidRPr="00A53D33">
        <w:rPr>
          <w:sz w:val="24"/>
          <w:szCs w:val="24"/>
        </w:rPr>
        <w:t xml:space="preserve">likely than non-deployed </w:t>
      </w:r>
      <w:r>
        <w:rPr>
          <w:sz w:val="24"/>
          <w:szCs w:val="24"/>
        </w:rPr>
        <w:t xml:space="preserve">Veterans </w:t>
      </w:r>
      <w:r w:rsidRPr="00A53D33">
        <w:rPr>
          <w:sz w:val="24"/>
          <w:szCs w:val="24"/>
        </w:rPr>
        <w:t xml:space="preserve">to </w:t>
      </w:r>
      <w:r>
        <w:rPr>
          <w:sz w:val="24"/>
          <w:szCs w:val="24"/>
        </w:rPr>
        <w:t xml:space="preserve">use alcohol and other </w:t>
      </w:r>
      <w:r w:rsidRPr="00A53D33">
        <w:rPr>
          <w:sz w:val="24"/>
          <w:szCs w:val="24"/>
        </w:rPr>
        <w:t>substance</w:t>
      </w:r>
      <w:r>
        <w:rPr>
          <w:sz w:val="24"/>
          <w:szCs w:val="24"/>
        </w:rPr>
        <w:t>s</w:t>
      </w:r>
      <w:r w:rsidRPr="00A53D33">
        <w:rPr>
          <w:sz w:val="24"/>
          <w:szCs w:val="24"/>
        </w:rPr>
        <w:t xml:space="preserve"> </w:t>
      </w:r>
      <w:r>
        <w:rPr>
          <w:sz w:val="24"/>
          <w:szCs w:val="24"/>
        </w:rPr>
        <w:t>(</w:t>
      </w:r>
      <w:r w:rsidRPr="00A53D33">
        <w:rPr>
          <w:sz w:val="24"/>
          <w:szCs w:val="24"/>
        </w:rPr>
        <w:t>cocaine, amphetamine, opioid</w:t>
      </w:r>
      <w:r>
        <w:rPr>
          <w:sz w:val="24"/>
          <w:szCs w:val="24"/>
        </w:rPr>
        <w:t>,</w:t>
      </w:r>
      <w:r w:rsidRPr="00A53D33">
        <w:rPr>
          <w:sz w:val="24"/>
          <w:szCs w:val="24"/>
        </w:rPr>
        <w:t xml:space="preserve"> and cannabis</w:t>
      </w:r>
      <w:r>
        <w:rPr>
          <w:sz w:val="24"/>
          <w:szCs w:val="24"/>
        </w:rPr>
        <w:t>)</w:t>
      </w:r>
      <w:r w:rsidRPr="00A53D33">
        <w:rPr>
          <w:sz w:val="24"/>
          <w:szCs w:val="24"/>
        </w:rPr>
        <w:t xml:space="preserve"> </w:t>
      </w:r>
      <w:r>
        <w:rPr>
          <w:sz w:val="24"/>
          <w:szCs w:val="24"/>
        </w:rPr>
        <w:t>and</w:t>
      </w:r>
      <w:r w:rsidRPr="00A53D33">
        <w:rPr>
          <w:sz w:val="24"/>
          <w:szCs w:val="24"/>
        </w:rPr>
        <w:t xml:space="preserve"> have diagnoses consistent with cognitive dysfunction </w:t>
      </w:r>
      <w:r>
        <w:rPr>
          <w:sz w:val="24"/>
          <w:szCs w:val="24"/>
        </w:rPr>
        <w:t>(</w:t>
      </w:r>
      <w:r w:rsidRPr="00A53D33">
        <w:rPr>
          <w:sz w:val="24"/>
          <w:szCs w:val="24"/>
        </w:rPr>
        <w:t>memory loss, mild cognitive impairment</w:t>
      </w:r>
      <w:r>
        <w:rPr>
          <w:sz w:val="24"/>
          <w:szCs w:val="24"/>
        </w:rPr>
        <w:t>,</w:t>
      </w:r>
      <w:r w:rsidRPr="00A53D33">
        <w:rPr>
          <w:sz w:val="24"/>
          <w:szCs w:val="24"/>
        </w:rPr>
        <w:t xml:space="preserve"> and dementia</w:t>
      </w:r>
      <w:r>
        <w:rPr>
          <w:sz w:val="24"/>
          <w:szCs w:val="24"/>
        </w:rPr>
        <w:t>).</w:t>
      </w:r>
      <w:r w:rsidR="00825225">
        <w:rPr>
          <w:sz w:val="24"/>
          <w:szCs w:val="24"/>
          <w:vertAlign w:val="superscript"/>
        </w:rPr>
        <w:t>1</w:t>
      </w:r>
      <w:r w:rsidR="00E86B79">
        <w:rPr>
          <w:sz w:val="24"/>
          <w:szCs w:val="24"/>
          <w:vertAlign w:val="superscript"/>
        </w:rPr>
        <w:t>-3</w:t>
      </w:r>
    </w:p>
    <w:p w14:paraId="70BC59E0" w14:textId="7BAB1323" w:rsidR="00085407" w:rsidRDefault="00085407" w:rsidP="00085407">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73021E">
        <w:rPr>
          <w:b/>
          <w:sz w:val="24"/>
          <w:szCs w:val="24"/>
        </w:rPr>
        <w:t>Deployment</w:t>
      </w:r>
      <w:r>
        <w:rPr>
          <w:b/>
          <w:sz w:val="24"/>
          <w:szCs w:val="24"/>
        </w:rPr>
        <w:t xml:space="preserve"> Status, </w:t>
      </w:r>
      <w:r w:rsidRPr="0073021E">
        <w:rPr>
          <w:b/>
          <w:sz w:val="24"/>
          <w:szCs w:val="24"/>
        </w:rPr>
        <w:t xml:space="preserve">TBI, </w:t>
      </w:r>
      <w:r>
        <w:rPr>
          <w:b/>
          <w:sz w:val="24"/>
          <w:szCs w:val="24"/>
        </w:rPr>
        <w:t xml:space="preserve">and </w:t>
      </w:r>
      <w:r w:rsidRPr="0073021E">
        <w:rPr>
          <w:b/>
          <w:sz w:val="24"/>
          <w:szCs w:val="24"/>
        </w:rPr>
        <w:t xml:space="preserve">Mental Health </w:t>
      </w:r>
      <w:r>
        <w:rPr>
          <w:b/>
          <w:sz w:val="24"/>
          <w:szCs w:val="24"/>
        </w:rPr>
        <w:t>Risk</w:t>
      </w:r>
      <w:r>
        <w:rPr>
          <w:sz w:val="24"/>
          <w:szCs w:val="24"/>
        </w:rPr>
        <w:t xml:space="preserve">. </w:t>
      </w:r>
      <w:r w:rsidRPr="00397CD1">
        <w:rPr>
          <w:sz w:val="24"/>
          <w:szCs w:val="24"/>
        </w:rPr>
        <w:t xml:space="preserve">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were more likely than non-deployed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to have </w:t>
      </w:r>
      <w:r>
        <w:rPr>
          <w:sz w:val="24"/>
          <w:szCs w:val="24"/>
        </w:rPr>
        <w:t xml:space="preserve">TBI, </w:t>
      </w:r>
      <w:r w:rsidRPr="00397CD1">
        <w:rPr>
          <w:sz w:val="24"/>
          <w:szCs w:val="24"/>
        </w:rPr>
        <w:t>PTSD</w:t>
      </w:r>
      <w:r>
        <w:rPr>
          <w:sz w:val="24"/>
          <w:szCs w:val="24"/>
        </w:rPr>
        <w:t>,</w:t>
      </w:r>
      <w:r w:rsidRPr="00397CD1">
        <w:rPr>
          <w:sz w:val="24"/>
          <w:szCs w:val="24"/>
        </w:rPr>
        <w:t xml:space="preserve"> depression, anxiety, </w:t>
      </w:r>
      <w:r w:rsidR="000F476E">
        <w:rPr>
          <w:sz w:val="24"/>
          <w:szCs w:val="24"/>
        </w:rPr>
        <w:t xml:space="preserve">pain interference </w:t>
      </w:r>
      <w:r>
        <w:rPr>
          <w:sz w:val="24"/>
          <w:szCs w:val="24"/>
        </w:rPr>
        <w:t xml:space="preserve">and </w:t>
      </w:r>
      <w:r w:rsidR="00696669">
        <w:rPr>
          <w:sz w:val="24"/>
          <w:szCs w:val="24"/>
        </w:rPr>
        <w:t xml:space="preserve">impaired </w:t>
      </w:r>
      <w:r>
        <w:rPr>
          <w:sz w:val="24"/>
          <w:szCs w:val="24"/>
        </w:rPr>
        <w:t>sleep (</w:t>
      </w:r>
      <w:r w:rsidRPr="00397CD1">
        <w:rPr>
          <w:sz w:val="24"/>
          <w:szCs w:val="24"/>
        </w:rPr>
        <w:t>hypersomnia, insomnia, and obstructive sleep apnea</w:t>
      </w:r>
      <w:r>
        <w:rPr>
          <w:sz w:val="24"/>
          <w:szCs w:val="24"/>
        </w:rPr>
        <w:t xml:space="preserve">) </w:t>
      </w:r>
      <w:r w:rsidR="000A4334">
        <w:rPr>
          <w:sz w:val="24"/>
          <w:szCs w:val="24"/>
        </w:rPr>
        <w:t xml:space="preserve">based on self-report and </w:t>
      </w:r>
      <w:r>
        <w:rPr>
          <w:sz w:val="24"/>
          <w:szCs w:val="24"/>
        </w:rPr>
        <w:t>ICD diagnoses</w:t>
      </w:r>
      <w:r w:rsidR="000F476E">
        <w:rPr>
          <w:sz w:val="24"/>
          <w:szCs w:val="24"/>
        </w:rPr>
        <w:t>.</w:t>
      </w:r>
      <w:r w:rsidR="00E86B79">
        <w:rPr>
          <w:sz w:val="24"/>
          <w:szCs w:val="24"/>
          <w:vertAlign w:val="superscript"/>
        </w:rPr>
        <w:t>4</w:t>
      </w:r>
      <w:r w:rsidR="000A4334">
        <w:rPr>
          <w:sz w:val="24"/>
          <w:szCs w:val="24"/>
        </w:rPr>
        <w:t xml:space="preserve"> </w:t>
      </w:r>
      <w:r w:rsidRPr="00397CD1">
        <w:rPr>
          <w:sz w:val="24"/>
          <w:szCs w:val="24"/>
        </w:rPr>
        <w:t xml:space="preserve">Deployed </w:t>
      </w:r>
      <w:r w:rsidR="00E86B79" w:rsidRPr="00A53D33">
        <w:rPr>
          <w:sz w:val="24"/>
          <w:szCs w:val="24"/>
        </w:rPr>
        <w:t>S</w:t>
      </w:r>
      <w:r w:rsidR="00E86B79">
        <w:rPr>
          <w:sz w:val="24"/>
          <w:szCs w:val="24"/>
        </w:rPr>
        <w:t xml:space="preserve">ervice </w:t>
      </w:r>
      <w:r w:rsidR="00E86B79" w:rsidRPr="00A53D33">
        <w:rPr>
          <w:sz w:val="24"/>
          <w:szCs w:val="24"/>
        </w:rPr>
        <w:t>M</w:t>
      </w:r>
      <w:r w:rsidR="00E86B79">
        <w:rPr>
          <w:sz w:val="24"/>
          <w:szCs w:val="24"/>
        </w:rPr>
        <w:t>ember</w:t>
      </w:r>
      <w:r w:rsidR="00E86B79" w:rsidRPr="00A53D33">
        <w:rPr>
          <w:sz w:val="24"/>
          <w:szCs w:val="24"/>
        </w:rPr>
        <w:t>s</w:t>
      </w:r>
      <w:r w:rsidRPr="00397CD1">
        <w:rPr>
          <w:sz w:val="24"/>
          <w:szCs w:val="24"/>
        </w:rPr>
        <w:t xml:space="preserve"> were </w:t>
      </w:r>
      <w:r>
        <w:rPr>
          <w:sz w:val="24"/>
          <w:szCs w:val="24"/>
        </w:rPr>
        <w:t xml:space="preserve">also </w:t>
      </w:r>
      <w:r w:rsidRPr="00397CD1">
        <w:rPr>
          <w:sz w:val="24"/>
          <w:szCs w:val="24"/>
        </w:rPr>
        <w:t xml:space="preserve">more likely than non-deployed </w:t>
      </w:r>
      <w:r>
        <w:rPr>
          <w:sz w:val="24"/>
          <w:szCs w:val="24"/>
        </w:rPr>
        <w:t>SMs</w:t>
      </w:r>
      <w:r w:rsidRPr="00397CD1">
        <w:rPr>
          <w:sz w:val="24"/>
          <w:szCs w:val="24"/>
        </w:rPr>
        <w:t xml:space="preserve"> to have suicidal ideation</w:t>
      </w:r>
      <w:r>
        <w:rPr>
          <w:sz w:val="24"/>
          <w:szCs w:val="24"/>
        </w:rPr>
        <w:t xml:space="preserve"> and </w:t>
      </w:r>
      <w:r w:rsidRPr="00397CD1">
        <w:rPr>
          <w:sz w:val="24"/>
          <w:szCs w:val="24"/>
        </w:rPr>
        <w:t>attempt</w:t>
      </w:r>
      <w:r>
        <w:rPr>
          <w:sz w:val="24"/>
          <w:szCs w:val="24"/>
        </w:rPr>
        <w:t>s</w:t>
      </w:r>
      <w:r w:rsidRPr="00397CD1">
        <w:rPr>
          <w:sz w:val="24"/>
          <w:szCs w:val="24"/>
        </w:rPr>
        <w:t xml:space="preserve"> and overdose</w:t>
      </w:r>
      <w:r>
        <w:rPr>
          <w:sz w:val="24"/>
          <w:szCs w:val="24"/>
        </w:rPr>
        <w:t>s.</w:t>
      </w:r>
      <w:r w:rsidR="00E86B79">
        <w:rPr>
          <w:sz w:val="24"/>
          <w:szCs w:val="24"/>
          <w:vertAlign w:val="superscript"/>
        </w:rPr>
        <w:t>4</w:t>
      </w:r>
    </w:p>
    <w:p w14:paraId="3A2030B5" w14:textId="507D5325" w:rsidR="00106606" w:rsidRPr="00F6086B" w:rsidRDefault="00F6086B" w:rsidP="00085407">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Pr>
          <w:b/>
          <w:sz w:val="24"/>
          <w:szCs w:val="24"/>
        </w:rPr>
        <w:t>Deployment Status, TBI, and Cognitive Functioning</w:t>
      </w:r>
      <w:r w:rsidRPr="00F6086B">
        <w:rPr>
          <w:sz w:val="24"/>
          <w:szCs w:val="24"/>
        </w:rPr>
        <w:t xml:space="preserve">. </w:t>
      </w:r>
      <w:r>
        <w:rPr>
          <w:sz w:val="24"/>
          <w:szCs w:val="24"/>
        </w:rPr>
        <w:t>Veterans who sustained deployment mTBI had small but significant</w:t>
      </w:r>
      <w:r w:rsidR="00696669">
        <w:rPr>
          <w:sz w:val="24"/>
          <w:szCs w:val="24"/>
        </w:rPr>
        <w:t>ly</w:t>
      </w:r>
      <w:r>
        <w:rPr>
          <w:sz w:val="24"/>
          <w:szCs w:val="24"/>
        </w:rPr>
        <w:t xml:space="preserve"> lower performance on objective tests of working memory, processing speed and trail making (A and B).</w:t>
      </w:r>
      <w:r w:rsidR="003B524C">
        <w:rPr>
          <w:sz w:val="24"/>
          <w:szCs w:val="24"/>
        </w:rPr>
        <w:t xml:space="preserve"> </w:t>
      </w:r>
      <w:r w:rsidR="00A478FA">
        <w:rPr>
          <w:sz w:val="24"/>
          <w:szCs w:val="24"/>
        </w:rPr>
        <w:t>Six neuropsychological profiles of deployment-related mTBI were identified based on high, moderate and low self-reported functioning levels and high or low cognitive performance.</w:t>
      </w:r>
      <w:r w:rsidR="00C45602">
        <w:rPr>
          <w:sz w:val="24"/>
          <w:szCs w:val="24"/>
          <w:vertAlign w:val="superscript"/>
        </w:rPr>
        <w:t>5</w:t>
      </w:r>
      <w:r w:rsidR="00A478FA">
        <w:rPr>
          <w:sz w:val="24"/>
          <w:szCs w:val="24"/>
        </w:rPr>
        <w:t xml:space="preserve"> </w:t>
      </w:r>
      <w:r w:rsidR="00A478FA" w:rsidRPr="00974CAB">
        <w:rPr>
          <w:rFonts w:cstheme="minorHAnsi"/>
          <w:sz w:val="24"/>
          <w:szCs w:val="24"/>
        </w:rPr>
        <w:t>Service Members and</w:t>
      </w:r>
      <w:r w:rsidR="00A478FA">
        <w:rPr>
          <w:rFonts w:cstheme="minorHAnsi"/>
          <w:b/>
          <w:sz w:val="24"/>
          <w:szCs w:val="24"/>
        </w:rPr>
        <w:t xml:space="preserve"> </w:t>
      </w:r>
      <w:r w:rsidR="00A478FA">
        <w:rPr>
          <w:rFonts w:cstheme="minorHAnsi"/>
          <w:color w:val="212121"/>
          <w:sz w:val="24"/>
          <w:szCs w:val="24"/>
          <w:shd w:val="clear" w:color="auto" w:fill="FFFFFF"/>
        </w:rPr>
        <w:t xml:space="preserve">Veterans with deployment-related </w:t>
      </w:r>
      <w:r w:rsidR="00A478FA" w:rsidRPr="0040696C">
        <w:rPr>
          <w:rFonts w:cstheme="minorHAnsi"/>
          <w:color w:val="212121"/>
          <w:sz w:val="24"/>
          <w:szCs w:val="24"/>
          <w:shd w:val="clear" w:color="auto" w:fill="FFFFFF"/>
        </w:rPr>
        <w:t xml:space="preserve">mTBI and meeting criteria for PTSD were more likely to be grouped within </w:t>
      </w:r>
      <w:r w:rsidR="00A478FA">
        <w:rPr>
          <w:rFonts w:cstheme="minorHAnsi"/>
          <w:color w:val="212121"/>
          <w:sz w:val="24"/>
          <w:szCs w:val="24"/>
          <w:shd w:val="clear" w:color="auto" w:fill="FFFFFF"/>
        </w:rPr>
        <w:t>poorer outcome</w:t>
      </w:r>
      <w:r w:rsidR="00A478FA" w:rsidRPr="0040696C">
        <w:rPr>
          <w:rFonts w:cstheme="minorHAnsi"/>
          <w:color w:val="212121"/>
          <w:sz w:val="24"/>
          <w:szCs w:val="24"/>
          <w:shd w:val="clear" w:color="auto" w:fill="FFFFFF"/>
        </w:rPr>
        <w:t xml:space="preserve"> profiles</w:t>
      </w:r>
      <w:r w:rsidR="00A478FA">
        <w:rPr>
          <w:rFonts w:cstheme="minorHAnsi"/>
          <w:color w:val="212121"/>
          <w:sz w:val="24"/>
          <w:szCs w:val="24"/>
          <w:shd w:val="clear" w:color="auto" w:fill="FFFFFF"/>
        </w:rPr>
        <w:t>.</w:t>
      </w:r>
      <w:r w:rsidR="00C45602">
        <w:rPr>
          <w:sz w:val="24"/>
          <w:szCs w:val="24"/>
          <w:vertAlign w:val="superscript"/>
        </w:rPr>
        <w:t>5</w:t>
      </w:r>
    </w:p>
    <w:p w14:paraId="0895F230" w14:textId="5896C73A" w:rsidR="002A7439" w:rsidRPr="002A7439" w:rsidRDefault="00C97BBD" w:rsidP="002A7439">
      <w:pPr>
        <w:pStyle w:val="ListParagraph"/>
        <w:numPr>
          <w:ilvl w:val="0"/>
          <w:numId w:val="14"/>
        </w:numPr>
        <w:pBdr>
          <w:top w:val="double" w:sz="6" w:space="1" w:color="003F72"/>
          <w:left w:val="double" w:sz="6" w:space="4" w:color="003F72"/>
          <w:bottom w:val="double" w:sz="6" w:space="1" w:color="003F72"/>
          <w:right w:val="double" w:sz="6" w:space="4" w:color="003F72"/>
        </w:pBdr>
        <w:spacing w:after="0" w:line="240" w:lineRule="auto"/>
        <w:jc w:val="both"/>
        <w:rPr>
          <w:sz w:val="24"/>
          <w:szCs w:val="24"/>
        </w:rPr>
      </w:pPr>
      <w:r w:rsidRPr="00E82913">
        <w:rPr>
          <w:b/>
          <w:sz w:val="24"/>
          <w:szCs w:val="24"/>
        </w:rPr>
        <w:t xml:space="preserve">TBI </w:t>
      </w:r>
      <w:r w:rsidR="008C48E6" w:rsidRPr="00E82913">
        <w:rPr>
          <w:b/>
          <w:sz w:val="24"/>
          <w:szCs w:val="24"/>
        </w:rPr>
        <w:t>D</w:t>
      </w:r>
      <w:r w:rsidRPr="00E82913">
        <w:rPr>
          <w:b/>
          <w:sz w:val="24"/>
          <w:szCs w:val="24"/>
        </w:rPr>
        <w:t>ue to Blasts</w:t>
      </w:r>
      <w:r w:rsidRPr="002A7439">
        <w:rPr>
          <w:sz w:val="24"/>
          <w:szCs w:val="24"/>
        </w:rPr>
        <w:t xml:space="preserve">. </w:t>
      </w:r>
      <w:r w:rsidR="00696669">
        <w:rPr>
          <w:sz w:val="24"/>
          <w:szCs w:val="24"/>
        </w:rPr>
        <w:t>Multiple</w:t>
      </w:r>
      <w:r w:rsidR="002962C4" w:rsidRPr="002A7439">
        <w:rPr>
          <w:sz w:val="24"/>
          <w:szCs w:val="24"/>
        </w:rPr>
        <w:t xml:space="preserve"> LIMBIC-CENC studies </w:t>
      </w:r>
      <w:r w:rsidR="00633BBB" w:rsidRPr="002A7439">
        <w:rPr>
          <w:sz w:val="24"/>
          <w:szCs w:val="24"/>
        </w:rPr>
        <w:t xml:space="preserve">found </w:t>
      </w:r>
      <w:r w:rsidR="00B279F5" w:rsidRPr="002A7439">
        <w:rPr>
          <w:sz w:val="24"/>
          <w:szCs w:val="24"/>
        </w:rPr>
        <w:t xml:space="preserve">little to no </w:t>
      </w:r>
      <w:r w:rsidR="00633BBB" w:rsidRPr="002A7439">
        <w:rPr>
          <w:sz w:val="24"/>
          <w:szCs w:val="24"/>
        </w:rPr>
        <w:t xml:space="preserve">direct </w:t>
      </w:r>
      <w:r w:rsidR="00E51CC7" w:rsidRPr="002A7439">
        <w:rPr>
          <w:sz w:val="24"/>
          <w:szCs w:val="24"/>
        </w:rPr>
        <w:t>differences in outcomes between blast-related and non-blast-related mTBI, when adjusting for other factors such as PTSD, pain, depression, sleep.</w:t>
      </w:r>
      <w:r w:rsidR="00EA5502">
        <w:rPr>
          <w:sz w:val="24"/>
          <w:szCs w:val="24"/>
          <w:vertAlign w:val="superscript"/>
        </w:rPr>
        <w:t>6</w:t>
      </w:r>
      <w:r w:rsidR="009C5837" w:rsidRPr="009C5837">
        <w:rPr>
          <w:sz w:val="24"/>
          <w:szCs w:val="24"/>
          <w:vertAlign w:val="superscript"/>
        </w:rPr>
        <w:t>-</w:t>
      </w:r>
      <w:r w:rsidR="00EA5502">
        <w:rPr>
          <w:sz w:val="24"/>
          <w:szCs w:val="24"/>
          <w:vertAlign w:val="superscript"/>
        </w:rPr>
        <w:t>10</w:t>
      </w:r>
      <w:r w:rsidR="00E51CC7" w:rsidRPr="002A7439">
        <w:rPr>
          <w:sz w:val="24"/>
          <w:szCs w:val="24"/>
        </w:rPr>
        <w:t xml:space="preserve"> </w:t>
      </w:r>
      <w:r w:rsidR="004A25FF">
        <w:rPr>
          <w:sz w:val="24"/>
          <w:szCs w:val="24"/>
        </w:rPr>
        <w:t>There was little evidence that self-reported blast-exposure history impacted cognitive functioning.</w:t>
      </w:r>
      <w:r w:rsidR="004A25FF">
        <w:rPr>
          <w:sz w:val="24"/>
          <w:szCs w:val="24"/>
          <w:vertAlign w:val="superscript"/>
        </w:rPr>
        <w:t xml:space="preserve">4, </w:t>
      </w:r>
      <w:r w:rsidR="00EA5502">
        <w:rPr>
          <w:sz w:val="24"/>
          <w:szCs w:val="24"/>
          <w:vertAlign w:val="superscript"/>
        </w:rPr>
        <w:t>6</w:t>
      </w:r>
      <w:r w:rsidR="00A478FA" w:rsidRPr="00EA5502">
        <w:rPr>
          <w:sz w:val="24"/>
          <w:szCs w:val="24"/>
        </w:rPr>
        <w:t xml:space="preserve"> </w:t>
      </w:r>
      <w:r w:rsidR="00696669">
        <w:rPr>
          <w:sz w:val="24"/>
          <w:szCs w:val="24"/>
        </w:rPr>
        <w:t>However</w:t>
      </w:r>
      <w:r w:rsidR="00B279F5" w:rsidRPr="002A7439">
        <w:rPr>
          <w:sz w:val="24"/>
          <w:szCs w:val="24"/>
        </w:rPr>
        <w:t xml:space="preserve">, </w:t>
      </w:r>
      <w:r w:rsidR="00696669">
        <w:rPr>
          <w:sz w:val="24"/>
          <w:szCs w:val="24"/>
        </w:rPr>
        <w:t xml:space="preserve">blast-related </w:t>
      </w:r>
      <w:r w:rsidR="00C363FD" w:rsidRPr="002A7439">
        <w:rPr>
          <w:sz w:val="24"/>
          <w:szCs w:val="24"/>
        </w:rPr>
        <w:t>mTBI</w:t>
      </w:r>
      <w:r w:rsidR="00696669">
        <w:rPr>
          <w:sz w:val="24"/>
          <w:szCs w:val="24"/>
        </w:rPr>
        <w:t xml:space="preserve"> </w:t>
      </w:r>
      <w:r w:rsidR="00C363FD" w:rsidRPr="002A7439">
        <w:rPr>
          <w:sz w:val="24"/>
          <w:szCs w:val="24"/>
        </w:rPr>
        <w:t xml:space="preserve">has </w:t>
      </w:r>
      <w:r w:rsidR="00B279F5" w:rsidRPr="002A7439">
        <w:rPr>
          <w:sz w:val="24"/>
          <w:szCs w:val="24"/>
        </w:rPr>
        <w:t xml:space="preserve">a </w:t>
      </w:r>
      <w:r w:rsidR="00C363FD" w:rsidRPr="002A7439">
        <w:rPr>
          <w:sz w:val="24"/>
          <w:szCs w:val="24"/>
        </w:rPr>
        <w:t xml:space="preserve">significant impact on </w:t>
      </w:r>
      <w:r w:rsidR="00B279F5" w:rsidRPr="002A7439">
        <w:rPr>
          <w:sz w:val="24"/>
          <w:szCs w:val="24"/>
        </w:rPr>
        <w:t xml:space="preserve">VA </w:t>
      </w:r>
      <w:r w:rsidR="00C363FD" w:rsidRPr="002A7439">
        <w:rPr>
          <w:sz w:val="24"/>
          <w:szCs w:val="24"/>
        </w:rPr>
        <w:t>health services utilization and costs relative to non-blast mTBI and no mTBI.</w:t>
      </w:r>
      <w:r w:rsidR="00EA5502">
        <w:rPr>
          <w:sz w:val="24"/>
          <w:szCs w:val="24"/>
          <w:vertAlign w:val="superscript"/>
        </w:rPr>
        <w:t>10</w:t>
      </w:r>
      <w:r w:rsidR="00C363FD" w:rsidRPr="002A7439">
        <w:rPr>
          <w:sz w:val="24"/>
          <w:szCs w:val="24"/>
        </w:rPr>
        <w:t xml:space="preserve"> </w:t>
      </w:r>
      <w:r w:rsidR="00B279F5" w:rsidRPr="002A7439">
        <w:rPr>
          <w:sz w:val="24"/>
          <w:szCs w:val="24"/>
        </w:rPr>
        <w:t>Further, blast</w:t>
      </w:r>
      <w:r w:rsidR="00C363FD" w:rsidRPr="002A7439">
        <w:rPr>
          <w:sz w:val="24"/>
          <w:szCs w:val="24"/>
        </w:rPr>
        <w:t xml:space="preserve"> exposures in </w:t>
      </w:r>
      <w:r w:rsidR="0033478E" w:rsidRPr="002A7439">
        <w:rPr>
          <w:sz w:val="24"/>
          <w:szCs w:val="24"/>
        </w:rPr>
        <w:t xml:space="preserve">both </w:t>
      </w:r>
      <w:r w:rsidR="00C363FD" w:rsidRPr="002A7439">
        <w:rPr>
          <w:sz w:val="24"/>
          <w:szCs w:val="24"/>
        </w:rPr>
        <w:t xml:space="preserve">combat and training </w:t>
      </w:r>
      <w:r w:rsidR="0033478E" w:rsidRPr="002A7439">
        <w:rPr>
          <w:sz w:val="24"/>
          <w:szCs w:val="24"/>
        </w:rPr>
        <w:t xml:space="preserve">settings </w:t>
      </w:r>
      <w:r w:rsidR="00C363FD" w:rsidRPr="002A7439">
        <w:rPr>
          <w:sz w:val="24"/>
          <w:szCs w:val="24"/>
        </w:rPr>
        <w:t>are predictors of Service Connected Disability</w:t>
      </w:r>
      <w:r w:rsidR="00580FED">
        <w:rPr>
          <w:sz w:val="24"/>
          <w:szCs w:val="24"/>
        </w:rPr>
        <w:t xml:space="preserve">; </w:t>
      </w:r>
      <w:r w:rsidR="0033478E" w:rsidRPr="002A7439">
        <w:rPr>
          <w:sz w:val="24"/>
          <w:szCs w:val="24"/>
        </w:rPr>
        <w:t xml:space="preserve">number of controlled detonations </w:t>
      </w:r>
      <w:r w:rsidR="00C363FD" w:rsidRPr="002A7439">
        <w:rPr>
          <w:sz w:val="24"/>
          <w:szCs w:val="24"/>
        </w:rPr>
        <w:t>in training may be much more impactful.</w:t>
      </w:r>
      <w:r w:rsidR="00EA5502">
        <w:rPr>
          <w:sz w:val="24"/>
          <w:szCs w:val="24"/>
          <w:vertAlign w:val="superscript"/>
        </w:rPr>
        <w:t>9</w:t>
      </w:r>
    </w:p>
    <w:p w14:paraId="17205983" w14:textId="42B3D8EE" w:rsidR="006E5B92" w:rsidRPr="002A7439" w:rsidRDefault="007C1D1D" w:rsidP="002A7439">
      <w:pPr>
        <w:keepNext/>
        <w:keepLines/>
        <w:pBdr>
          <w:top w:val="double" w:sz="6" w:space="1" w:color="003F72"/>
          <w:left w:val="double" w:sz="6" w:space="4" w:color="003F72"/>
          <w:bottom w:val="double" w:sz="6" w:space="1" w:color="003F72"/>
          <w:right w:val="double" w:sz="6" w:space="4" w:color="003F72"/>
        </w:pBdr>
        <w:spacing w:before="120" w:after="0" w:line="240" w:lineRule="auto"/>
        <w:jc w:val="both"/>
        <w:rPr>
          <w:b/>
          <w:color w:val="1F497D" w:themeColor="text2"/>
          <w:sz w:val="28"/>
          <w:szCs w:val="24"/>
        </w:rPr>
      </w:pPr>
      <w:r w:rsidRPr="002A7439">
        <w:rPr>
          <w:b/>
          <w:color w:val="1F497D" w:themeColor="text2"/>
          <w:sz w:val="28"/>
          <w:szCs w:val="24"/>
        </w:rPr>
        <w:t xml:space="preserve">Clinical </w:t>
      </w:r>
      <w:r w:rsidR="006E5B92" w:rsidRPr="002A7439">
        <w:rPr>
          <w:b/>
          <w:color w:val="1F497D" w:themeColor="text2"/>
          <w:sz w:val="28"/>
          <w:szCs w:val="24"/>
        </w:rPr>
        <w:t>Impact</w:t>
      </w:r>
    </w:p>
    <w:p w14:paraId="464053FD" w14:textId="392A3293" w:rsidR="009C0855" w:rsidRPr="00AC757E" w:rsidRDefault="00823BFD" w:rsidP="009C0855">
      <w:pPr>
        <w:pStyle w:val="ListParagraph"/>
        <w:numPr>
          <w:ilvl w:val="0"/>
          <w:numId w:val="13"/>
        </w:numPr>
        <w:pBdr>
          <w:top w:val="double" w:sz="6" w:space="1" w:color="003F72"/>
          <w:left w:val="double" w:sz="6" w:space="4" w:color="003F72"/>
          <w:bottom w:val="double" w:sz="6" w:space="1" w:color="003F72"/>
          <w:right w:val="double" w:sz="6" w:space="4" w:color="003F72"/>
        </w:pBdr>
        <w:spacing w:after="0" w:line="240" w:lineRule="auto"/>
        <w:contextualSpacing w:val="0"/>
        <w:jc w:val="both"/>
        <w:rPr>
          <w:sz w:val="24"/>
          <w:szCs w:val="24"/>
        </w:rPr>
      </w:pPr>
      <w:r w:rsidRPr="00651ED4">
        <w:rPr>
          <w:b/>
          <w:sz w:val="24"/>
          <w:szCs w:val="24"/>
        </w:rPr>
        <w:t>Advancing the TBI</w:t>
      </w:r>
      <w:r w:rsidR="00651ED4" w:rsidRPr="00651ED4">
        <w:rPr>
          <w:b/>
          <w:sz w:val="24"/>
          <w:szCs w:val="24"/>
        </w:rPr>
        <w:t>, Deployment and Outcomes Literature</w:t>
      </w:r>
      <w:r w:rsidR="00651ED4">
        <w:rPr>
          <w:sz w:val="24"/>
          <w:szCs w:val="24"/>
        </w:rPr>
        <w:t>. I</w:t>
      </w:r>
      <w:r w:rsidR="009C0855">
        <w:rPr>
          <w:sz w:val="24"/>
          <w:szCs w:val="24"/>
        </w:rPr>
        <w:t>dentifying t</w:t>
      </w:r>
      <w:r w:rsidR="009C0855" w:rsidRPr="00397CD1">
        <w:rPr>
          <w:sz w:val="24"/>
          <w:szCs w:val="24"/>
        </w:rPr>
        <w:t>h</w:t>
      </w:r>
      <w:r w:rsidR="009C0855">
        <w:rPr>
          <w:sz w:val="24"/>
          <w:szCs w:val="24"/>
        </w:rPr>
        <w:t xml:space="preserve">e association between </w:t>
      </w:r>
      <w:r w:rsidR="00651ED4">
        <w:rPr>
          <w:sz w:val="24"/>
          <w:szCs w:val="24"/>
        </w:rPr>
        <w:t xml:space="preserve">combat </w:t>
      </w:r>
      <w:r w:rsidR="009C0855" w:rsidRPr="00397CD1">
        <w:rPr>
          <w:sz w:val="24"/>
          <w:szCs w:val="24"/>
        </w:rPr>
        <w:t>deploy</w:t>
      </w:r>
      <w:r w:rsidR="009C0855">
        <w:rPr>
          <w:sz w:val="24"/>
          <w:szCs w:val="24"/>
        </w:rPr>
        <w:t xml:space="preserve">ment and increased risk of </w:t>
      </w:r>
      <w:r w:rsidR="009C0855" w:rsidRPr="00397CD1">
        <w:rPr>
          <w:sz w:val="24"/>
          <w:szCs w:val="24"/>
        </w:rPr>
        <w:t>TBI, traumatic injuries, mental health disorders and substance use</w:t>
      </w:r>
      <w:r w:rsidR="009C0855">
        <w:rPr>
          <w:sz w:val="24"/>
          <w:szCs w:val="24"/>
        </w:rPr>
        <w:t xml:space="preserve"> further </w:t>
      </w:r>
      <w:r w:rsidR="00651ED4">
        <w:rPr>
          <w:sz w:val="24"/>
          <w:szCs w:val="24"/>
        </w:rPr>
        <w:t xml:space="preserve">elucidates </w:t>
      </w:r>
      <w:r w:rsidR="009C0855">
        <w:rPr>
          <w:sz w:val="24"/>
          <w:szCs w:val="24"/>
        </w:rPr>
        <w:t xml:space="preserve">the magnitude of </w:t>
      </w:r>
      <w:r w:rsidR="009C0855" w:rsidRPr="00397CD1">
        <w:rPr>
          <w:sz w:val="24"/>
          <w:szCs w:val="24"/>
        </w:rPr>
        <w:t xml:space="preserve">both </w:t>
      </w:r>
      <w:r w:rsidR="00651ED4">
        <w:rPr>
          <w:sz w:val="24"/>
          <w:szCs w:val="24"/>
        </w:rPr>
        <w:t xml:space="preserve">the </w:t>
      </w:r>
      <w:r w:rsidR="009C0855" w:rsidRPr="00397CD1">
        <w:rPr>
          <w:sz w:val="24"/>
          <w:szCs w:val="24"/>
        </w:rPr>
        <w:t xml:space="preserve">physical and </w:t>
      </w:r>
      <w:r w:rsidR="009C0855">
        <w:rPr>
          <w:sz w:val="24"/>
          <w:szCs w:val="24"/>
        </w:rPr>
        <w:t xml:space="preserve">mental health </w:t>
      </w:r>
      <w:r w:rsidR="009C0855" w:rsidRPr="00397CD1">
        <w:rPr>
          <w:sz w:val="24"/>
          <w:szCs w:val="24"/>
        </w:rPr>
        <w:t>impact</w:t>
      </w:r>
      <w:r w:rsidR="009C0855">
        <w:rPr>
          <w:sz w:val="24"/>
          <w:szCs w:val="24"/>
        </w:rPr>
        <w:t>s</w:t>
      </w:r>
      <w:r w:rsidR="009C0855" w:rsidRPr="00397CD1">
        <w:rPr>
          <w:sz w:val="24"/>
          <w:szCs w:val="24"/>
        </w:rPr>
        <w:t xml:space="preserve"> of deployment</w:t>
      </w:r>
      <w:r w:rsidR="009C0855">
        <w:rPr>
          <w:sz w:val="24"/>
          <w:szCs w:val="24"/>
        </w:rPr>
        <w:t xml:space="preserve"> and TBI. Th</w:t>
      </w:r>
      <w:r w:rsidR="00651ED4">
        <w:rPr>
          <w:sz w:val="24"/>
          <w:szCs w:val="24"/>
        </w:rPr>
        <w:t xml:space="preserve">ese findings </w:t>
      </w:r>
      <w:r w:rsidR="009C0855">
        <w:rPr>
          <w:sz w:val="24"/>
          <w:szCs w:val="24"/>
        </w:rPr>
        <w:t xml:space="preserve">provides evidentiary support for </w:t>
      </w:r>
      <w:r w:rsidR="00651ED4">
        <w:rPr>
          <w:sz w:val="24"/>
          <w:szCs w:val="24"/>
        </w:rPr>
        <w:t xml:space="preserve">DOD and VA healthcare </w:t>
      </w:r>
      <w:r w:rsidR="009C0855">
        <w:rPr>
          <w:sz w:val="24"/>
          <w:szCs w:val="24"/>
        </w:rPr>
        <w:t>policies on screening for TBI</w:t>
      </w:r>
      <w:r w:rsidR="00651ED4">
        <w:rPr>
          <w:sz w:val="24"/>
          <w:szCs w:val="24"/>
        </w:rPr>
        <w:t xml:space="preserve"> and follow-up </w:t>
      </w:r>
      <w:r w:rsidR="009C0855" w:rsidRPr="00A97857">
        <w:rPr>
          <w:sz w:val="24"/>
          <w:szCs w:val="24"/>
        </w:rPr>
        <w:t>comprehensive evaluation</w:t>
      </w:r>
      <w:r w:rsidR="009C0855">
        <w:rPr>
          <w:sz w:val="24"/>
          <w:szCs w:val="24"/>
        </w:rPr>
        <w:t xml:space="preserve"> of positive </w:t>
      </w:r>
      <w:r w:rsidR="00651ED4">
        <w:rPr>
          <w:sz w:val="24"/>
          <w:szCs w:val="24"/>
        </w:rPr>
        <w:t xml:space="preserve">TBI </w:t>
      </w:r>
      <w:r w:rsidR="009C0855">
        <w:rPr>
          <w:sz w:val="24"/>
          <w:szCs w:val="24"/>
        </w:rPr>
        <w:t>screens, particularly for Veterans with a deployment history.</w:t>
      </w:r>
    </w:p>
    <w:p w14:paraId="41194827" w14:textId="3AFC7926" w:rsidR="00C87323" w:rsidRDefault="00F9596C" w:rsidP="00C87323">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87323">
        <w:rPr>
          <w:b/>
          <w:sz w:val="24"/>
          <w:szCs w:val="24"/>
        </w:rPr>
        <w:t>Controlled Detonations, TBI and Morbidity</w:t>
      </w:r>
      <w:r w:rsidR="00444D4E">
        <w:rPr>
          <w:b/>
          <w:sz w:val="24"/>
          <w:szCs w:val="24"/>
        </w:rPr>
        <w:t>.</w:t>
      </w:r>
      <w:r w:rsidRPr="00C87323">
        <w:rPr>
          <w:sz w:val="24"/>
          <w:szCs w:val="24"/>
        </w:rPr>
        <w:t xml:space="preserve"> LIMBIC-CENC research</w:t>
      </w:r>
      <w:r w:rsidR="00444D4E">
        <w:rPr>
          <w:sz w:val="24"/>
          <w:szCs w:val="24"/>
        </w:rPr>
        <w:t>ers</w:t>
      </w:r>
      <w:r w:rsidRPr="00C87323">
        <w:rPr>
          <w:sz w:val="24"/>
          <w:szCs w:val="24"/>
        </w:rPr>
        <w:t xml:space="preserve"> ha</w:t>
      </w:r>
      <w:r w:rsidR="00444D4E">
        <w:rPr>
          <w:sz w:val="24"/>
          <w:szCs w:val="24"/>
        </w:rPr>
        <w:t>ve</w:t>
      </w:r>
      <w:r w:rsidRPr="00C87323">
        <w:rPr>
          <w:sz w:val="24"/>
          <w:szCs w:val="24"/>
        </w:rPr>
        <w:t xml:space="preserve"> begun to lay an evidence base </w:t>
      </w:r>
      <w:r w:rsidR="004905D0" w:rsidRPr="00C87323">
        <w:rPr>
          <w:sz w:val="24"/>
          <w:szCs w:val="24"/>
        </w:rPr>
        <w:t>on the imp</w:t>
      </w:r>
      <w:r w:rsidRPr="00C87323">
        <w:rPr>
          <w:sz w:val="24"/>
          <w:szCs w:val="24"/>
        </w:rPr>
        <w:t xml:space="preserve">act </w:t>
      </w:r>
      <w:r w:rsidR="004905D0" w:rsidRPr="00C87323">
        <w:rPr>
          <w:sz w:val="24"/>
          <w:szCs w:val="24"/>
        </w:rPr>
        <w:t xml:space="preserve">of controlled detonations on service connected disability </w:t>
      </w:r>
      <w:r w:rsidRPr="00C87323">
        <w:rPr>
          <w:sz w:val="24"/>
          <w:szCs w:val="24"/>
        </w:rPr>
        <w:t xml:space="preserve">and by extension mTBI, comorbidities and outcomes. </w:t>
      </w:r>
      <w:r w:rsidR="00C87323" w:rsidRPr="00C87323">
        <w:rPr>
          <w:sz w:val="24"/>
          <w:szCs w:val="24"/>
        </w:rPr>
        <w:t xml:space="preserve">These findings may have more immediate </w:t>
      </w:r>
      <w:r w:rsidR="004905D0" w:rsidRPr="00C87323">
        <w:rPr>
          <w:sz w:val="24"/>
          <w:szCs w:val="24"/>
        </w:rPr>
        <w:t>implications for D</w:t>
      </w:r>
      <w:r w:rsidR="00444D4E">
        <w:rPr>
          <w:sz w:val="24"/>
          <w:szCs w:val="24"/>
        </w:rPr>
        <w:t>O</w:t>
      </w:r>
      <w:r w:rsidR="004905D0" w:rsidRPr="00C87323">
        <w:rPr>
          <w:sz w:val="24"/>
          <w:szCs w:val="24"/>
        </w:rPr>
        <w:t>D training</w:t>
      </w:r>
      <w:r w:rsidR="00C87323" w:rsidRPr="00C87323">
        <w:rPr>
          <w:sz w:val="24"/>
          <w:szCs w:val="24"/>
        </w:rPr>
        <w:t xml:space="preserve"> approaches</w:t>
      </w:r>
      <w:r w:rsidR="004905D0" w:rsidRPr="00C87323">
        <w:rPr>
          <w:sz w:val="24"/>
          <w:szCs w:val="24"/>
        </w:rPr>
        <w:t xml:space="preserve">. </w:t>
      </w:r>
      <w:r w:rsidR="00C87323" w:rsidRPr="00C87323">
        <w:rPr>
          <w:sz w:val="24"/>
          <w:szCs w:val="24"/>
        </w:rPr>
        <w:t xml:space="preserve">There remains significant heterogeneity in </w:t>
      </w:r>
      <w:r w:rsidR="0073021E" w:rsidRPr="00C87323">
        <w:rPr>
          <w:sz w:val="24"/>
          <w:szCs w:val="24"/>
        </w:rPr>
        <w:t>outcomes between S</w:t>
      </w:r>
      <w:r w:rsidR="00C87323">
        <w:rPr>
          <w:sz w:val="24"/>
          <w:szCs w:val="24"/>
        </w:rPr>
        <w:t xml:space="preserve">ervice </w:t>
      </w:r>
      <w:r w:rsidR="0073021E" w:rsidRPr="00C87323">
        <w:rPr>
          <w:sz w:val="24"/>
          <w:szCs w:val="24"/>
        </w:rPr>
        <w:t>M</w:t>
      </w:r>
      <w:r w:rsidR="00C87323">
        <w:rPr>
          <w:sz w:val="24"/>
          <w:szCs w:val="24"/>
        </w:rPr>
        <w:t>ember</w:t>
      </w:r>
      <w:r w:rsidR="0073021E" w:rsidRPr="00C87323">
        <w:rPr>
          <w:sz w:val="24"/>
          <w:szCs w:val="24"/>
        </w:rPr>
        <w:t xml:space="preserve">s </w:t>
      </w:r>
      <w:r w:rsidR="00C87323">
        <w:rPr>
          <w:sz w:val="24"/>
          <w:szCs w:val="24"/>
        </w:rPr>
        <w:t xml:space="preserve">and Veterans </w:t>
      </w:r>
      <w:r w:rsidR="0073021E" w:rsidRPr="00C87323">
        <w:rPr>
          <w:sz w:val="24"/>
          <w:szCs w:val="24"/>
        </w:rPr>
        <w:t>with var</w:t>
      </w:r>
      <w:r w:rsidR="00C87323">
        <w:rPr>
          <w:sz w:val="24"/>
          <w:szCs w:val="24"/>
        </w:rPr>
        <w:t xml:space="preserve">ying </w:t>
      </w:r>
      <w:r w:rsidR="0073021E" w:rsidRPr="00C87323">
        <w:rPr>
          <w:sz w:val="24"/>
          <w:szCs w:val="24"/>
        </w:rPr>
        <w:t>histories of lifetime mTBI and repetitive low-level blast exposures</w:t>
      </w:r>
      <w:r w:rsidR="00C87323">
        <w:rPr>
          <w:sz w:val="24"/>
          <w:szCs w:val="24"/>
        </w:rPr>
        <w:t xml:space="preserve">. </w:t>
      </w:r>
    </w:p>
    <w:p w14:paraId="7B4EAFD8" w14:textId="353CF1E1" w:rsidR="00C87323" w:rsidRDefault="00C87323" w:rsidP="00C87323">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C87323">
        <w:rPr>
          <w:b/>
          <w:sz w:val="24"/>
          <w:szCs w:val="24"/>
        </w:rPr>
        <w:t>Untangling Evidence on the Effects of Blast and non-Blast TBI</w:t>
      </w:r>
      <w:r w:rsidRPr="00C87323">
        <w:rPr>
          <w:sz w:val="24"/>
          <w:szCs w:val="24"/>
        </w:rPr>
        <w:t xml:space="preserve">. LIMBIC-CENC symptom research has found little to no evidence that blast-related TBI directly impacts outcomes, when adjusting for other comorbidities such as PTSD, pain, depression, and sleep. </w:t>
      </w:r>
      <w:r>
        <w:rPr>
          <w:sz w:val="24"/>
          <w:szCs w:val="24"/>
        </w:rPr>
        <w:t>Increasing the LIMBIC-CENC PLS cohort and its robust long</w:t>
      </w:r>
      <w:r w:rsidR="00444D4E">
        <w:rPr>
          <w:sz w:val="24"/>
          <w:szCs w:val="24"/>
        </w:rPr>
        <w:t xml:space="preserve">itudinal </w:t>
      </w:r>
      <w:r>
        <w:rPr>
          <w:sz w:val="24"/>
          <w:szCs w:val="24"/>
        </w:rPr>
        <w:t xml:space="preserve">follow-up will allow for analyses of sub-group effects and interactions between </w:t>
      </w:r>
      <w:r w:rsidRPr="00CD6940">
        <w:rPr>
          <w:sz w:val="24"/>
          <w:szCs w:val="24"/>
        </w:rPr>
        <w:t>risk factors</w:t>
      </w:r>
      <w:r>
        <w:rPr>
          <w:sz w:val="24"/>
          <w:szCs w:val="24"/>
        </w:rPr>
        <w:t xml:space="preserve"> </w:t>
      </w:r>
      <w:r w:rsidR="00B64A66">
        <w:rPr>
          <w:sz w:val="24"/>
          <w:szCs w:val="24"/>
        </w:rPr>
        <w:t xml:space="preserve">related to both </w:t>
      </w:r>
      <w:r w:rsidR="00B64A66">
        <w:rPr>
          <w:sz w:val="24"/>
          <w:szCs w:val="24"/>
        </w:rPr>
        <w:lastRenderedPageBreak/>
        <w:t>blast injuries and controlled detonations.</w:t>
      </w:r>
      <w:r>
        <w:rPr>
          <w:sz w:val="24"/>
          <w:szCs w:val="24"/>
        </w:rPr>
        <w:t xml:space="preserve"> More nuanced prognostic models can then be created to identify individualized, modifiable behavioral and biomarker-based risk factors (</w:t>
      </w:r>
      <w:r w:rsidR="00B64A66">
        <w:rPr>
          <w:sz w:val="24"/>
          <w:szCs w:val="24"/>
        </w:rPr>
        <w:t xml:space="preserve">mTBI blast </w:t>
      </w:r>
      <w:r>
        <w:rPr>
          <w:sz w:val="24"/>
          <w:szCs w:val="24"/>
        </w:rPr>
        <w:t>phenotypes) and</w:t>
      </w:r>
      <w:r w:rsidRPr="00CD6940">
        <w:rPr>
          <w:sz w:val="24"/>
          <w:szCs w:val="24"/>
        </w:rPr>
        <w:t xml:space="preserve"> better </w:t>
      </w:r>
      <w:r>
        <w:rPr>
          <w:sz w:val="24"/>
          <w:szCs w:val="24"/>
        </w:rPr>
        <w:t>inform personalized treatments (precision medicine).</w:t>
      </w:r>
    </w:p>
    <w:p w14:paraId="71C31BBD" w14:textId="107F5DBE" w:rsidR="006E5B92" w:rsidRPr="00C87323" w:rsidRDefault="006E5B92" w:rsidP="00C87323">
      <w:pPr>
        <w:pStyle w:val="ListParagraph"/>
        <w:keepNext/>
        <w:keepLines/>
        <w:pBdr>
          <w:top w:val="double" w:sz="6" w:space="1" w:color="003F72"/>
          <w:left w:val="double" w:sz="6" w:space="4" w:color="003F72"/>
          <w:bottom w:val="double" w:sz="6" w:space="1" w:color="003F72"/>
          <w:right w:val="double" w:sz="6" w:space="4" w:color="003F72"/>
        </w:pBdr>
        <w:spacing w:before="120" w:after="0" w:line="240" w:lineRule="auto"/>
        <w:ind w:left="0"/>
        <w:contextualSpacing w:val="0"/>
        <w:jc w:val="both"/>
        <w:rPr>
          <w:b/>
          <w:color w:val="1F497D" w:themeColor="text2"/>
          <w:sz w:val="28"/>
          <w:szCs w:val="24"/>
        </w:rPr>
      </w:pPr>
      <w:r w:rsidRPr="00C87323">
        <w:rPr>
          <w:b/>
          <w:color w:val="1F497D" w:themeColor="text2"/>
          <w:sz w:val="28"/>
          <w:szCs w:val="24"/>
        </w:rPr>
        <w:t>Primary Knowledge Translation Products</w:t>
      </w:r>
    </w:p>
    <w:p w14:paraId="0BBB1489" w14:textId="08049DE4" w:rsidR="00C11B2B" w:rsidRPr="00EF11F6" w:rsidRDefault="00C11B2B" w:rsidP="00C11B2B">
      <w:pPr>
        <w:pStyle w:val="ListParagraph"/>
        <w:numPr>
          <w:ilvl w:val="0"/>
          <w:numId w:val="3"/>
        </w:numPr>
        <w:pBdr>
          <w:top w:val="double" w:sz="6" w:space="1" w:color="003F72"/>
          <w:left w:val="double" w:sz="6" w:space="4" w:color="003F72"/>
          <w:bottom w:val="double" w:sz="6" w:space="1" w:color="003F72"/>
          <w:right w:val="double" w:sz="6" w:space="4" w:color="003F72"/>
        </w:pBdr>
        <w:spacing w:after="0" w:line="240" w:lineRule="auto"/>
        <w:ind w:left="360"/>
        <w:jc w:val="both"/>
        <w:rPr>
          <w:rFonts w:cstheme="minorHAnsi"/>
          <w:sz w:val="24"/>
          <w:szCs w:val="24"/>
        </w:rPr>
      </w:pPr>
      <w:r w:rsidRPr="00EF11F6">
        <w:rPr>
          <w:rFonts w:cstheme="minorHAnsi"/>
          <w:sz w:val="24"/>
          <w:szCs w:val="24"/>
        </w:rPr>
        <w:t>LIMBIC-CENC provides a repository of information on</w:t>
      </w:r>
      <w:r>
        <w:rPr>
          <w:rFonts w:cstheme="minorHAnsi"/>
          <w:sz w:val="24"/>
          <w:szCs w:val="24"/>
        </w:rPr>
        <w:t xml:space="preserve"> </w:t>
      </w:r>
      <w:hyperlink r:id="rId8" w:history="1">
        <w:r>
          <w:rPr>
            <w:rStyle w:val="Hyperlink"/>
            <w:rFonts w:cstheme="minorHAnsi"/>
            <w:sz w:val="24"/>
            <w:szCs w:val="24"/>
          </w:rPr>
          <w:t>TBI and Epidemiology</w:t>
        </w:r>
      </w:hyperlink>
      <w:r>
        <w:rPr>
          <w:rFonts w:cstheme="minorHAnsi"/>
          <w:sz w:val="24"/>
          <w:szCs w:val="24"/>
        </w:rPr>
        <w:t xml:space="preserve"> in the For TBI Researchers section</w:t>
      </w:r>
      <w:r w:rsidRPr="00EF11F6">
        <w:rPr>
          <w:rFonts w:cstheme="minorHAnsi"/>
          <w:sz w:val="24"/>
          <w:szCs w:val="24"/>
        </w:rPr>
        <w:t>.</w:t>
      </w:r>
      <w:r>
        <w:rPr>
          <w:rFonts w:cstheme="minorHAnsi"/>
          <w:sz w:val="24"/>
          <w:szCs w:val="24"/>
        </w:rPr>
        <w:t xml:space="preserve"> We also provide a repository on </w:t>
      </w:r>
      <w:r>
        <w:rPr>
          <w:sz w:val="24"/>
          <w:szCs w:val="24"/>
        </w:rPr>
        <w:t xml:space="preserve"> </w:t>
      </w:r>
      <w:hyperlink r:id="rId9" w:history="1">
        <w:r>
          <w:rPr>
            <w:rStyle w:val="Hyperlink"/>
            <w:sz w:val="24"/>
            <w:szCs w:val="24"/>
          </w:rPr>
          <w:t>TBI and Polytrauma for Service Members, Veterans, and Families</w:t>
        </w:r>
      </w:hyperlink>
      <w:r>
        <w:rPr>
          <w:sz w:val="24"/>
          <w:szCs w:val="24"/>
        </w:rPr>
        <w:t xml:space="preserve"> and </w:t>
      </w:r>
      <w:hyperlink r:id="rId10" w:history="1">
        <w:r>
          <w:rPr>
            <w:rStyle w:val="Hyperlink"/>
            <w:sz w:val="24"/>
            <w:szCs w:val="24"/>
          </w:rPr>
          <w:t>TBI and Polytrauma for Clinicians</w:t>
        </w:r>
      </w:hyperlink>
      <w:r>
        <w:rPr>
          <w:sz w:val="24"/>
          <w:szCs w:val="24"/>
        </w:rPr>
        <w:t>.</w:t>
      </w:r>
    </w:p>
    <w:p w14:paraId="230F8B89" w14:textId="12DB27AE" w:rsidR="00C11B2B" w:rsidRPr="00EF11F6" w:rsidRDefault="00C11B2B" w:rsidP="00C11B2B">
      <w:pPr>
        <w:pStyle w:val="ListParagraph"/>
        <w:numPr>
          <w:ilvl w:val="0"/>
          <w:numId w:val="3"/>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EF11F6">
        <w:rPr>
          <w:sz w:val="24"/>
          <w:szCs w:val="24"/>
        </w:rPr>
        <w:t xml:space="preserve">The </w:t>
      </w:r>
      <w:hyperlink r:id="rId11" w:history="1">
        <w:r w:rsidRPr="00EF11F6">
          <w:rPr>
            <w:rStyle w:val="Hyperlink"/>
            <w:sz w:val="24"/>
            <w:szCs w:val="24"/>
          </w:rPr>
          <w:t>Abstract Veterans TBI Health and Outcomes Podcasts</w:t>
        </w:r>
      </w:hyperlink>
      <w:r w:rsidRPr="00EF11F6">
        <w:rPr>
          <w:sz w:val="24"/>
          <w:szCs w:val="24"/>
        </w:rPr>
        <w:t xml:space="preserve"> provides evidence-informed and real world patient, family and clinician perspectives on a</w:t>
      </w:r>
      <w:r>
        <w:rPr>
          <w:sz w:val="24"/>
          <w:szCs w:val="24"/>
        </w:rPr>
        <w:t>ccessing and best leveraging DOD and VA health care services and resources.</w:t>
      </w:r>
    </w:p>
    <w:p w14:paraId="464F38A7" w14:textId="1D6E92BE" w:rsidR="006E5B92" w:rsidRPr="00B727FF" w:rsidRDefault="006E5B92" w:rsidP="00D41696">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B727FF">
        <w:rPr>
          <w:b/>
          <w:sz w:val="18"/>
          <w:szCs w:val="24"/>
        </w:rPr>
        <w:t xml:space="preserve">TBI and </w:t>
      </w:r>
      <w:r w:rsidR="008904FB">
        <w:rPr>
          <w:b/>
          <w:sz w:val="18"/>
          <w:szCs w:val="24"/>
        </w:rPr>
        <w:t xml:space="preserve">Military Service </w:t>
      </w:r>
      <w:r w:rsidRPr="00B727FF">
        <w:rPr>
          <w:b/>
          <w:sz w:val="18"/>
          <w:szCs w:val="24"/>
        </w:rPr>
        <w:t>References</w:t>
      </w:r>
    </w:p>
    <w:p w14:paraId="04EB875C" w14:textId="0CF04679"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proofErr w:type="spellStart"/>
      <w:r w:rsidRPr="00AB33B8">
        <w:rPr>
          <w:sz w:val="18"/>
          <w:szCs w:val="18"/>
        </w:rPr>
        <w:t>Kornblith</w:t>
      </w:r>
      <w:proofErr w:type="spellEnd"/>
      <w:r w:rsidRPr="00AB33B8">
        <w:rPr>
          <w:sz w:val="18"/>
          <w:szCs w:val="18"/>
        </w:rPr>
        <w:t xml:space="preserve"> E, </w:t>
      </w:r>
      <w:proofErr w:type="spellStart"/>
      <w:r w:rsidRPr="00AB33B8">
        <w:rPr>
          <w:sz w:val="18"/>
          <w:szCs w:val="18"/>
        </w:rPr>
        <w:t>Bahorik</w:t>
      </w:r>
      <w:proofErr w:type="spellEnd"/>
      <w:r w:rsidRPr="00AB33B8">
        <w:rPr>
          <w:sz w:val="18"/>
          <w:szCs w:val="18"/>
        </w:rPr>
        <w:t xml:space="preserve"> A, Li Y, Peltz CB, Barnes DE, Yaffe K. Traumatic Brain Injury, Cardiovascular Disease, and Risk of Dementia among Older US Veterans. Brain Injury 2022;36(5);628-632</w:t>
      </w:r>
    </w:p>
    <w:p w14:paraId="5AB47B88" w14:textId="54D4CD5A"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Byers AL, Li Y, Barnes DE, Boscardin WJ, Peltz CB, Yaffe K. TBI and risk of death in military veterans over 14 years: Injury severity, timing, and cause of death. J Psychiatr Res 2022;156:200-205. doi: 10.1016/j.jpsychires.2022.09.035. PMID: 36257114.</w:t>
      </w:r>
    </w:p>
    <w:p w14:paraId="58F40990" w14:textId="79593F41" w:rsidR="00E86B79" w:rsidRPr="00DE5918" w:rsidRDefault="00E86B79" w:rsidP="00E86B79">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Kennedy E, Panahi S, Stewart IJ, Tate DF, Wilde EA, Kenney K, Werner JK, Gill J, Diaz-Arrastia R, Amuan M, VanCott A, PughMJ.  Traumatic brain injury and early onset dementia in Post 9-11 Veterans. Brain Inj 2022;36(5):620-627. doi: 10.1080/02699052.2022.2033846. PMID: 35125061.</w:t>
      </w:r>
    </w:p>
    <w:p w14:paraId="077E313A" w14:textId="0F0E44CE" w:rsidR="00E86B79" w:rsidRDefault="00E86B79" w:rsidP="00E86B79">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E82913">
        <w:rPr>
          <w:rFonts w:ascii="Calibri" w:eastAsia="Times New Roman" w:hAnsi="Calibri" w:cs="Calibri"/>
          <w:sz w:val="18"/>
          <w:szCs w:val="24"/>
        </w:rPr>
        <w:t>Martindale SL, Ord AS, Lad SS, Miskey HM, Taber</w:t>
      </w:r>
      <w:r w:rsidR="00276442">
        <w:rPr>
          <w:rFonts w:ascii="Calibri" w:eastAsia="Times New Roman" w:hAnsi="Calibri" w:cs="Calibri"/>
          <w:sz w:val="18"/>
          <w:szCs w:val="24"/>
        </w:rPr>
        <w:t xml:space="preserve"> </w:t>
      </w:r>
      <w:r w:rsidRPr="00E82913">
        <w:rPr>
          <w:rFonts w:ascii="Calibri" w:eastAsia="Times New Roman" w:hAnsi="Calibri" w:cs="Calibri"/>
          <w:sz w:val="18"/>
          <w:szCs w:val="24"/>
        </w:rPr>
        <w:t>KH, Rowland JA</w:t>
      </w:r>
      <w:r w:rsidR="00276442">
        <w:rPr>
          <w:rFonts w:ascii="Calibri" w:eastAsia="Times New Roman" w:hAnsi="Calibri" w:cs="Calibri"/>
          <w:sz w:val="18"/>
          <w:szCs w:val="24"/>
        </w:rPr>
        <w:t>:</w:t>
      </w:r>
      <w:r w:rsidRPr="00E82913">
        <w:rPr>
          <w:rFonts w:ascii="Calibri" w:eastAsia="Times New Roman" w:hAnsi="Calibri" w:cs="Calibri"/>
          <w:sz w:val="18"/>
          <w:szCs w:val="24"/>
        </w:rPr>
        <w:t xml:space="preserve"> Differential effects of deployment and nondeployment mild TBI on neuropsychological outcomes. Rehabil Psychol</w:t>
      </w:r>
      <w:r w:rsidR="00276442">
        <w:rPr>
          <w:rFonts w:ascii="Calibri" w:eastAsia="Times New Roman" w:hAnsi="Calibri" w:cs="Calibri"/>
          <w:sz w:val="18"/>
          <w:szCs w:val="24"/>
        </w:rPr>
        <w:t xml:space="preserve"> 2020;66(2):128</w:t>
      </w:r>
      <w:r w:rsidRPr="00E82913">
        <w:rPr>
          <w:rFonts w:ascii="Calibri" w:eastAsia="Times New Roman" w:hAnsi="Calibri" w:cs="Calibri"/>
          <w:sz w:val="18"/>
          <w:szCs w:val="24"/>
        </w:rPr>
        <w:t xml:space="preserve">. </w:t>
      </w:r>
      <w:hyperlink r:id="rId12" w:history="1">
        <w:r w:rsidRPr="009A20F6">
          <w:rPr>
            <w:rStyle w:val="Hyperlink"/>
            <w:rFonts w:ascii="Calibri" w:eastAsia="Times New Roman" w:hAnsi="Calibri" w:cs="Calibri"/>
            <w:sz w:val="18"/>
            <w:szCs w:val="24"/>
          </w:rPr>
          <w:t>https://doi.org/10.1037/rep0000374</w:t>
        </w:r>
      </w:hyperlink>
    </w:p>
    <w:p w14:paraId="4853CE5E" w14:textId="1210D83B" w:rsidR="005E5FC5" w:rsidRPr="00BC2BFD" w:rsidRDefault="00BC2BFD" w:rsidP="00BC2BFD">
      <w:pPr>
        <w:pStyle w:val="ListParagraph"/>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BC2BFD">
        <w:rPr>
          <w:sz w:val="18"/>
          <w:szCs w:val="18"/>
        </w:rPr>
        <w:t xml:space="preserve">de Souza NL, </w:t>
      </w:r>
      <w:proofErr w:type="spellStart"/>
      <w:r w:rsidRPr="00BC2BFD">
        <w:rPr>
          <w:sz w:val="18"/>
          <w:szCs w:val="18"/>
        </w:rPr>
        <w:t>Esopenko</w:t>
      </w:r>
      <w:proofErr w:type="spellEnd"/>
      <w:r w:rsidRPr="00BC2BFD">
        <w:rPr>
          <w:sz w:val="18"/>
          <w:szCs w:val="18"/>
        </w:rPr>
        <w:t xml:space="preserve"> C, Jia Y, Parrott JS, Merkley TL, Dennis EL, Hillary FG, Velez C, Cooper DB, Kennedy JE, Lewis JD, York GE, Menefee DS, McCauley SR, Bowles AO, Wilde EA, Tate DF. Discriminating Mild Traumatic Brain Injury and Posttraumatic Stress Disorder Using Latent Neuroimaging and Neuropsychological Profiles in Active-Duty Military Service Members. J Head Trauma Rehabil. 2023 Jul-Aug 01;38(4):E254-E266. </w:t>
      </w:r>
      <w:proofErr w:type="spellStart"/>
      <w:r w:rsidRPr="00BC2BFD">
        <w:rPr>
          <w:sz w:val="18"/>
          <w:szCs w:val="18"/>
        </w:rPr>
        <w:t>doi</w:t>
      </w:r>
      <w:proofErr w:type="spellEnd"/>
      <w:r w:rsidRPr="00BC2BFD">
        <w:rPr>
          <w:sz w:val="18"/>
          <w:szCs w:val="18"/>
        </w:rPr>
        <w:t>: 10.1097/HTR.0000000000000848. Epub 2022 Dec 30. PMID: 36602276; PMCID: PMC10264548.</w:t>
      </w:r>
      <w:r w:rsidR="005E5FC5" w:rsidRPr="00BC2BFD">
        <w:rPr>
          <w:sz w:val="18"/>
          <w:szCs w:val="18"/>
        </w:rPr>
        <w:t xml:space="preserve"> </w:t>
      </w:r>
    </w:p>
    <w:p w14:paraId="2289C850" w14:textId="6BB63673" w:rsidR="009C5837" w:rsidRPr="00B727FF" w:rsidRDefault="009C5837" w:rsidP="009C5837">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3B524C">
        <w:rPr>
          <w:rFonts w:ascii="Calibri" w:eastAsia="Times New Roman" w:hAnsi="Calibri" w:cs="Calibri"/>
          <w:sz w:val="18"/>
          <w:szCs w:val="24"/>
        </w:rPr>
        <w:t>Martindale</w:t>
      </w:r>
      <w:r w:rsidR="00276442">
        <w:rPr>
          <w:rFonts w:ascii="Calibri" w:eastAsia="Times New Roman" w:hAnsi="Calibri" w:cs="Calibri"/>
          <w:sz w:val="18"/>
          <w:szCs w:val="24"/>
        </w:rPr>
        <w:t xml:space="preserve"> </w:t>
      </w:r>
      <w:r w:rsidRPr="003B524C">
        <w:rPr>
          <w:rFonts w:ascii="Calibri" w:eastAsia="Times New Roman" w:hAnsi="Calibri" w:cs="Calibri"/>
          <w:sz w:val="18"/>
          <w:szCs w:val="24"/>
        </w:rPr>
        <w:t>SL, Ord AS, Rowland JA</w:t>
      </w:r>
      <w:r w:rsidR="00276442">
        <w:rPr>
          <w:rFonts w:ascii="Calibri" w:eastAsia="Times New Roman" w:hAnsi="Calibri" w:cs="Calibri"/>
          <w:sz w:val="18"/>
          <w:szCs w:val="24"/>
        </w:rPr>
        <w:t>:</w:t>
      </w:r>
      <w:r w:rsidRPr="003B524C">
        <w:rPr>
          <w:rFonts w:ascii="Calibri" w:eastAsia="Times New Roman" w:hAnsi="Calibri" w:cs="Calibri"/>
          <w:sz w:val="18"/>
          <w:szCs w:val="24"/>
        </w:rPr>
        <w:t xml:space="preserve"> Influence of blast exposure on cognitive functioning in combat veterans. </w:t>
      </w:r>
      <w:proofErr w:type="spellStart"/>
      <w:r w:rsidRPr="003B524C">
        <w:rPr>
          <w:rFonts w:ascii="Calibri" w:eastAsia="Times New Roman" w:hAnsi="Calibri" w:cs="Calibri"/>
          <w:sz w:val="18"/>
          <w:szCs w:val="24"/>
        </w:rPr>
        <w:t>Neuropsychol</w:t>
      </w:r>
      <w:proofErr w:type="spellEnd"/>
      <w:r w:rsidR="00276442">
        <w:rPr>
          <w:rFonts w:ascii="Calibri" w:eastAsia="Times New Roman" w:hAnsi="Calibri" w:cs="Calibri"/>
          <w:sz w:val="18"/>
          <w:szCs w:val="24"/>
        </w:rPr>
        <w:t xml:space="preserve"> 2020;</w:t>
      </w:r>
      <w:r w:rsidRPr="003B524C">
        <w:rPr>
          <w:rFonts w:ascii="Calibri" w:eastAsia="Times New Roman" w:hAnsi="Calibri" w:cs="Calibri"/>
          <w:sz w:val="18"/>
          <w:szCs w:val="24"/>
        </w:rPr>
        <w:t>34(7), 735–743. https://doi.org/10.1037/neu0000672</w:t>
      </w:r>
    </w:p>
    <w:p w14:paraId="001EF903" w14:textId="726EF67C" w:rsidR="00771A30" w:rsidRPr="00B727FF" w:rsidRDefault="00771A30"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B727FF">
        <w:rPr>
          <w:rFonts w:ascii="Calibri" w:eastAsia="Times New Roman" w:hAnsi="Calibri" w:cs="Calibri"/>
          <w:sz w:val="18"/>
          <w:szCs w:val="24"/>
        </w:rPr>
        <w:t xml:space="preserve">Devoto C, Guedes VA, Lai C, Lete JJ, Mithani S, Edwards K, Vorn R, Qu B-X, Wilde EA, Walker WC, Diaz-Arrastia R, Werner JK, Kenney K, Gill J. Remote Blast-related Mild Traumatic Brain Injury is Associated with Differential Expression of Exosomal microRNAs Identified in Neurodegenerative and Immunological Processes.  </w:t>
      </w:r>
      <w:r w:rsidRPr="00B727FF">
        <w:rPr>
          <w:rFonts w:ascii="Calibri" w:eastAsia="Times New Roman" w:hAnsi="Calibri" w:cs="Calibri"/>
          <w:i/>
          <w:sz w:val="18"/>
          <w:szCs w:val="24"/>
        </w:rPr>
        <w:t>Brain Inj</w:t>
      </w:r>
      <w:r w:rsidRPr="00B727FF">
        <w:rPr>
          <w:rFonts w:ascii="Calibri" w:eastAsia="Times New Roman" w:hAnsi="Calibri" w:cs="Calibri"/>
          <w:b/>
          <w:i/>
          <w:sz w:val="18"/>
          <w:szCs w:val="24"/>
        </w:rPr>
        <w:t xml:space="preserve"> </w:t>
      </w:r>
      <w:r w:rsidRPr="00B727FF">
        <w:rPr>
          <w:rFonts w:ascii="Calibri" w:eastAsia="Times New Roman" w:hAnsi="Calibri" w:cs="Calibri"/>
          <w:sz w:val="18"/>
          <w:szCs w:val="24"/>
        </w:rPr>
        <w:t>2022;36(5):652-661. doi: 10.1080/02699052.2022.2042854. PMID: 3532272</w:t>
      </w:r>
      <w:r w:rsidRPr="00B727FF">
        <w:rPr>
          <w:rFonts w:ascii="Calibri" w:eastAsia="Times New Roman" w:hAnsi="Calibri" w:cs="Calibri"/>
          <w:i/>
          <w:sz w:val="18"/>
          <w:szCs w:val="24"/>
        </w:rPr>
        <w:t>3.</w:t>
      </w:r>
    </w:p>
    <w:p w14:paraId="32D28614" w14:textId="4FF92033" w:rsidR="00B727FF" w:rsidRDefault="006A1161"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6A1161">
        <w:rPr>
          <w:rFonts w:ascii="Calibri" w:eastAsia="Times New Roman" w:hAnsi="Calibri" w:cs="Calibri"/>
          <w:sz w:val="18"/>
          <w:szCs w:val="24"/>
        </w:rPr>
        <w:t>Rowland JA, Stapleton-Kotloski JR, Martindale SL, Rogers EE, Ord AS, Godwin DW, Taber KH. Alterations in the topology of functional connectomes are associated with post-traumatic stress disorder and blast-related mild traumatic brain injury in combat veterans. Journal of Neurotrauma. 2021;38(22):3086–96.</w:t>
      </w:r>
    </w:p>
    <w:p w14:paraId="23552BA1" w14:textId="6617C7BC" w:rsidR="00B279F5" w:rsidRDefault="00B279F5"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B279F5">
        <w:rPr>
          <w:rFonts w:ascii="Calibri" w:eastAsia="Times New Roman" w:hAnsi="Calibri" w:cs="Calibri"/>
          <w:sz w:val="18"/>
          <w:szCs w:val="24"/>
        </w:rPr>
        <w:t>Eggleston B, Dismuke-Greer C, Pogoda</w:t>
      </w:r>
      <w:r w:rsidR="00276442">
        <w:rPr>
          <w:rFonts w:ascii="Calibri" w:eastAsia="Times New Roman" w:hAnsi="Calibri" w:cs="Calibri"/>
          <w:sz w:val="18"/>
          <w:szCs w:val="24"/>
        </w:rPr>
        <w:t xml:space="preserve"> </w:t>
      </w:r>
      <w:r w:rsidRPr="00B279F5">
        <w:rPr>
          <w:rFonts w:ascii="Calibri" w:eastAsia="Times New Roman" w:hAnsi="Calibri" w:cs="Calibri"/>
          <w:sz w:val="18"/>
          <w:szCs w:val="24"/>
        </w:rPr>
        <w:t>T, Denning J, Eapen B, Carlson K, Bhatnagar S, Nakase-Richardson</w:t>
      </w:r>
      <w:r w:rsidR="00276442">
        <w:rPr>
          <w:rFonts w:ascii="Calibri" w:eastAsia="Times New Roman" w:hAnsi="Calibri" w:cs="Calibri"/>
          <w:sz w:val="18"/>
          <w:szCs w:val="24"/>
        </w:rPr>
        <w:t xml:space="preserve"> </w:t>
      </w:r>
      <w:r w:rsidRPr="00B279F5">
        <w:rPr>
          <w:rFonts w:ascii="Calibri" w:eastAsia="Times New Roman" w:hAnsi="Calibri" w:cs="Calibri"/>
          <w:sz w:val="18"/>
          <w:szCs w:val="24"/>
        </w:rPr>
        <w:t>R, Troyanskaya M, Nolen T, Walker W</w:t>
      </w:r>
      <w:r w:rsidR="00276442">
        <w:rPr>
          <w:rFonts w:ascii="Calibri" w:eastAsia="Times New Roman" w:hAnsi="Calibri" w:cs="Calibri"/>
          <w:sz w:val="18"/>
          <w:szCs w:val="24"/>
        </w:rPr>
        <w:t>C:</w:t>
      </w:r>
      <w:r w:rsidRPr="00B279F5">
        <w:rPr>
          <w:rFonts w:ascii="Calibri" w:eastAsia="Times New Roman" w:hAnsi="Calibri" w:cs="Calibri"/>
          <w:sz w:val="18"/>
          <w:szCs w:val="24"/>
        </w:rPr>
        <w:t xml:space="preserve"> A prediction model of military combat and training exposures on VA service-connected disability: A CENC study. Brain Injury</w:t>
      </w:r>
      <w:r w:rsidR="00276442">
        <w:rPr>
          <w:rFonts w:ascii="Calibri" w:eastAsia="Times New Roman" w:hAnsi="Calibri" w:cs="Calibri"/>
          <w:sz w:val="18"/>
          <w:szCs w:val="24"/>
        </w:rPr>
        <w:t xml:space="preserve"> 2019;</w:t>
      </w:r>
      <w:r w:rsidRPr="00B279F5">
        <w:rPr>
          <w:rFonts w:ascii="Calibri" w:eastAsia="Times New Roman" w:hAnsi="Calibri" w:cs="Calibri"/>
          <w:sz w:val="18"/>
          <w:szCs w:val="24"/>
        </w:rPr>
        <w:t>33(13-14), 1602-1614. doi:10.1080/02699052.2019.1655793</w:t>
      </w:r>
    </w:p>
    <w:p w14:paraId="5071A8A4" w14:textId="3A86CFD3" w:rsidR="00EF2536" w:rsidRDefault="00EF2536" w:rsidP="00D41696">
      <w:pPr>
        <w:numPr>
          <w:ilvl w:val="0"/>
          <w:numId w:val="27"/>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outlineLvl w:val="0"/>
        <w:rPr>
          <w:rFonts w:ascii="Calibri" w:eastAsia="Times New Roman" w:hAnsi="Calibri" w:cs="Calibri"/>
          <w:sz w:val="18"/>
          <w:szCs w:val="24"/>
        </w:rPr>
      </w:pPr>
      <w:r w:rsidRPr="00EF2536">
        <w:rPr>
          <w:rFonts w:ascii="Calibri" w:eastAsia="Times New Roman" w:hAnsi="Calibri" w:cs="Calibri"/>
          <w:sz w:val="18"/>
          <w:szCs w:val="24"/>
        </w:rPr>
        <w:t>Dismuke-Greer C, Hirsch S, Carlson K, Pogoda T, Nakase-Richardson R, Bhatnagar</w:t>
      </w:r>
      <w:r w:rsidR="00667DB4">
        <w:rPr>
          <w:rFonts w:ascii="Calibri" w:eastAsia="Times New Roman" w:hAnsi="Calibri" w:cs="Calibri"/>
          <w:sz w:val="18"/>
          <w:szCs w:val="24"/>
        </w:rPr>
        <w:t xml:space="preserve"> </w:t>
      </w:r>
      <w:r w:rsidRPr="00EF2536">
        <w:rPr>
          <w:rFonts w:ascii="Calibri" w:eastAsia="Times New Roman" w:hAnsi="Calibri" w:cs="Calibri"/>
          <w:sz w:val="18"/>
          <w:szCs w:val="24"/>
        </w:rPr>
        <w:t xml:space="preserve">S, Eapen B, Troyanskaya M, Miles S, Nolen T,  Walker </w:t>
      </w:r>
      <w:r w:rsidR="00667DB4">
        <w:rPr>
          <w:rFonts w:ascii="Calibri" w:eastAsia="Times New Roman" w:hAnsi="Calibri" w:cs="Calibri"/>
          <w:sz w:val="18"/>
          <w:szCs w:val="24"/>
        </w:rPr>
        <w:t>W</w:t>
      </w:r>
      <w:r w:rsidRPr="00EF2536">
        <w:rPr>
          <w:rFonts w:ascii="Calibri" w:eastAsia="Times New Roman" w:hAnsi="Calibri" w:cs="Calibri"/>
          <w:sz w:val="18"/>
          <w:szCs w:val="24"/>
        </w:rPr>
        <w:t>C</w:t>
      </w:r>
      <w:r w:rsidR="00667DB4">
        <w:rPr>
          <w:rFonts w:ascii="Calibri" w:eastAsia="Times New Roman" w:hAnsi="Calibri" w:cs="Calibri"/>
          <w:sz w:val="18"/>
          <w:szCs w:val="24"/>
        </w:rPr>
        <w:t>:</w:t>
      </w:r>
      <w:r w:rsidRPr="00EF2536">
        <w:rPr>
          <w:rFonts w:ascii="Calibri" w:eastAsia="Times New Roman" w:hAnsi="Calibri" w:cs="Calibri"/>
          <w:sz w:val="18"/>
          <w:szCs w:val="24"/>
        </w:rPr>
        <w:t xml:space="preserve"> Health services utilization, health care costs, and diagnoses by mild traumatic brain injury exposure: A Chronic Effects of Neurotrauma Consortium study. Arch Phys </w:t>
      </w:r>
      <w:r w:rsidR="00667DB4">
        <w:rPr>
          <w:rFonts w:ascii="Calibri" w:eastAsia="Times New Roman" w:hAnsi="Calibri" w:cs="Calibri"/>
          <w:sz w:val="18"/>
          <w:szCs w:val="24"/>
        </w:rPr>
        <w:t>Med</w:t>
      </w:r>
      <w:r w:rsidRPr="00EF2536">
        <w:rPr>
          <w:rFonts w:ascii="Calibri" w:eastAsia="Times New Roman" w:hAnsi="Calibri" w:cs="Calibri"/>
          <w:sz w:val="18"/>
          <w:szCs w:val="24"/>
        </w:rPr>
        <w:t xml:space="preserve"> Rehabil</w:t>
      </w:r>
      <w:r w:rsidR="00667DB4">
        <w:rPr>
          <w:rFonts w:ascii="Calibri" w:eastAsia="Times New Roman" w:hAnsi="Calibri" w:cs="Calibri"/>
          <w:sz w:val="18"/>
          <w:szCs w:val="24"/>
        </w:rPr>
        <w:t xml:space="preserve"> 2020;101(10):1720-1730.</w:t>
      </w:r>
      <w:r w:rsidRPr="00EF2536">
        <w:rPr>
          <w:rFonts w:ascii="Calibri" w:eastAsia="Times New Roman" w:hAnsi="Calibri" w:cs="Calibri"/>
          <w:sz w:val="18"/>
          <w:szCs w:val="24"/>
        </w:rPr>
        <w:t xml:space="preserve"> doi:10.1016/j.apmr.2020.06.008</w:t>
      </w:r>
    </w:p>
    <w:p w14:paraId="72665E1D" w14:textId="35A12A7A" w:rsidR="004F36F7" w:rsidRPr="004F36F7" w:rsidRDefault="004F36F7" w:rsidP="004F36F7">
      <w:pPr>
        <w:spacing w:after="0" w:line="240" w:lineRule="auto"/>
        <w:ind w:left="720"/>
        <w:jc w:val="center"/>
        <w:rPr>
          <w:b/>
          <w:sz w:val="28"/>
          <w:szCs w:val="28"/>
        </w:rPr>
      </w:pPr>
    </w:p>
    <w:p w14:paraId="4B1E44C9" w14:textId="77777777" w:rsidR="00D52071" w:rsidRPr="00A720FD" w:rsidRDefault="00D52071" w:rsidP="00D52071">
      <w:pPr>
        <w:pBdr>
          <w:top w:val="double" w:sz="6" w:space="1" w:color="003F72"/>
          <w:left w:val="double" w:sz="6" w:space="4" w:color="003F72"/>
          <w:bottom w:val="double" w:sz="6" w:space="1" w:color="003F72"/>
          <w:right w:val="double" w:sz="6" w:space="4" w:color="003F72"/>
        </w:pBdr>
        <w:shd w:val="clear" w:color="auto" w:fill="003F72"/>
        <w:spacing w:after="0" w:line="240" w:lineRule="auto"/>
        <w:jc w:val="both"/>
        <w:rPr>
          <w:sz w:val="18"/>
          <w:szCs w:val="20"/>
        </w:rPr>
      </w:pPr>
      <w:r w:rsidRPr="00CD6231">
        <w:rPr>
          <w:i/>
          <w:sz w:val="18"/>
          <w:szCs w:val="20"/>
        </w:rPr>
        <w:t>LIMBIC-CENC research and its KT products were supported financially by the Department of Defense, Chronic Effects of Neurotrauma Consortium (CENC) Award W81XWH-13-2-0095 and Department of Veterans Affairs CENC Award I01 CX001135.  Any opinions, findings, conclusions or recommendations expressed in this publication are those of the author(s) and do not necessarily</w:t>
      </w:r>
      <w:r w:rsidRPr="00A720FD">
        <w:rPr>
          <w:i/>
          <w:sz w:val="18"/>
          <w:szCs w:val="20"/>
        </w:rPr>
        <w:t xml:space="preserve"> reflect the views of the U.S. Government or the U.S. Department of Veterans Affairs, and no official endorsement should be inferred.</w:t>
      </w:r>
    </w:p>
    <w:p w14:paraId="081072AD" w14:textId="0712105B" w:rsidR="00F62AEC" w:rsidRPr="00A720FD" w:rsidRDefault="00E348AC" w:rsidP="00535536">
      <w:pPr>
        <w:pBdr>
          <w:top w:val="double" w:sz="6" w:space="1" w:color="003F72"/>
          <w:left w:val="double" w:sz="6" w:space="4" w:color="003F72"/>
          <w:bottom w:val="double" w:sz="6" w:space="1" w:color="003F72"/>
          <w:right w:val="double" w:sz="6" w:space="4" w:color="003F72"/>
        </w:pBdr>
        <w:shd w:val="clear" w:color="auto" w:fill="003F72"/>
        <w:spacing w:after="0" w:line="240" w:lineRule="auto"/>
        <w:jc w:val="both"/>
        <w:rPr>
          <w:sz w:val="18"/>
          <w:szCs w:val="20"/>
        </w:rPr>
      </w:pPr>
      <w:proofErr w:type="spellStart"/>
      <w:r w:rsidRPr="00A720FD">
        <w:rPr>
          <w:i/>
          <w:sz w:val="18"/>
          <w:szCs w:val="20"/>
        </w:rPr>
        <w:t>artment</w:t>
      </w:r>
      <w:proofErr w:type="spellEnd"/>
      <w:r w:rsidRPr="00A720FD">
        <w:rPr>
          <w:i/>
          <w:sz w:val="18"/>
          <w:szCs w:val="20"/>
        </w:rPr>
        <w:t xml:space="preserve"> of Veterans Affairs, and no official endorsement should be inferred.</w:t>
      </w:r>
    </w:p>
    <w:sectPr w:rsidR="00F62AEC" w:rsidRPr="00A720FD" w:rsidSect="001D5B1C">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38E2" w14:textId="77777777" w:rsidR="00E22A10" w:rsidRDefault="00E22A10" w:rsidP="004C0DF1">
      <w:pPr>
        <w:spacing w:after="0" w:line="240" w:lineRule="auto"/>
      </w:pPr>
      <w:r>
        <w:separator/>
      </w:r>
    </w:p>
  </w:endnote>
  <w:endnote w:type="continuationSeparator" w:id="0">
    <w:p w14:paraId="1CF3CF07" w14:textId="77777777" w:rsidR="00E22A10" w:rsidRDefault="00E22A10" w:rsidP="004C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695261110"/>
      <w:docPartObj>
        <w:docPartGallery w:val="Page Numbers (Bottom of Page)"/>
        <w:docPartUnique/>
      </w:docPartObj>
    </w:sdtPr>
    <w:sdtEndPr>
      <w:rPr>
        <w:noProof/>
      </w:rPr>
    </w:sdtEndPr>
    <w:sdtContent>
      <w:p w14:paraId="635B8F48" w14:textId="4B31592D" w:rsidR="008F3B99" w:rsidRPr="004C0DF1" w:rsidRDefault="008F3B99">
        <w:pPr>
          <w:pStyle w:val="Footer"/>
          <w:jc w:val="right"/>
          <w:rPr>
            <w:i/>
          </w:rPr>
        </w:pPr>
        <w:r w:rsidRPr="004C0DF1">
          <w:rPr>
            <w:i/>
          </w:rPr>
          <w:t xml:space="preserve">  LIMBIC-CENC Clinical Care Monograph</w:t>
        </w:r>
        <w:r>
          <w:rPr>
            <w:i/>
          </w:rPr>
          <w:t xml:space="preserve">      </w:t>
        </w:r>
        <w:r w:rsidRPr="004C0DF1">
          <w:rPr>
            <w:i/>
          </w:rPr>
          <w:t xml:space="preserve"> </w:t>
        </w:r>
        <w:r w:rsidRPr="004C0DF1">
          <w:rPr>
            <w:i/>
          </w:rPr>
          <w:fldChar w:fldCharType="begin"/>
        </w:r>
        <w:r w:rsidRPr="004C0DF1">
          <w:rPr>
            <w:i/>
          </w:rPr>
          <w:instrText xml:space="preserve"> PAGE   \* MERGEFORMAT </w:instrText>
        </w:r>
        <w:r w:rsidRPr="004C0DF1">
          <w:rPr>
            <w:i/>
          </w:rPr>
          <w:fldChar w:fldCharType="separate"/>
        </w:r>
        <w:r w:rsidRPr="004C0DF1">
          <w:rPr>
            <w:i/>
            <w:noProof/>
          </w:rPr>
          <w:t>2</w:t>
        </w:r>
        <w:r w:rsidRPr="004C0DF1">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40A2" w14:textId="77777777" w:rsidR="00E22A10" w:rsidRDefault="00E22A10" w:rsidP="004C0DF1">
      <w:pPr>
        <w:spacing w:after="0" w:line="240" w:lineRule="auto"/>
      </w:pPr>
      <w:r>
        <w:separator/>
      </w:r>
    </w:p>
  </w:footnote>
  <w:footnote w:type="continuationSeparator" w:id="0">
    <w:p w14:paraId="431A16CF" w14:textId="77777777" w:rsidR="00E22A10" w:rsidRDefault="00E22A10" w:rsidP="004C0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F44"/>
    <w:multiLevelType w:val="hybridMultilevel"/>
    <w:tmpl w:val="43F6A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A0D52FF"/>
    <w:multiLevelType w:val="hybridMultilevel"/>
    <w:tmpl w:val="8D6E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799"/>
    <w:multiLevelType w:val="hybridMultilevel"/>
    <w:tmpl w:val="052C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18B"/>
    <w:multiLevelType w:val="hybridMultilevel"/>
    <w:tmpl w:val="04860B12"/>
    <w:lvl w:ilvl="0" w:tplc="4824E8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4A3788"/>
    <w:multiLevelType w:val="hybridMultilevel"/>
    <w:tmpl w:val="60703494"/>
    <w:lvl w:ilvl="0" w:tplc="837CD4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7129"/>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8653DD"/>
    <w:multiLevelType w:val="hybridMultilevel"/>
    <w:tmpl w:val="85B2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DD"/>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933FAD"/>
    <w:multiLevelType w:val="hybridMultilevel"/>
    <w:tmpl w:val="20BE67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0D7E07"/>
    <w:multiLevelType w:val="hybridMultilevel"/>
    <w:tmpl w:val="DE6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26C3E"/>
    <w:multiLevelType w:val="hybridMultilevel"/>
    <w:tmpl w:val="9E187738"/>
    <w:lvl w:ilvl="0" w:tplc="8AE60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E6CE2"/>
    <w:multiLevelType w:val="hybridMultilevel"/>
    <w:tmpl w:val="C7EA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1F6"/>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F55B1E"/>
    <w:multiLevelType w:val="hybridMultilevel"/>
    <w:tmpl w:val="A1F24992"/>
    <w:lvl w:ilvl="0" w:tplc="230255C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4B7E"/>
    <w:multiLevelType w:val="hybridMultilevel"/>
    <w:tmpl w:val="8FD2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EC3"/>
    <w:multiLevelType w:val="hybridMultilevel"/>
    <w:tmpl w:val="D12060D8"/>
    <w:lvl w:ilvl="0" w:tplc="4AD073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42A"/>
    <w:multiLevelType w:val="hybridMultilevel"/>
    <w:tmpl w:val="46AC9E94"/>
    <w:lvl w:ilvl="0" w:tplc="4014B46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6AD1"/>
    <w:multiLevelType w:val="hybridMultilevel"/>
    <w:tmpl w:val="5A46A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0822AD"/>
    <w:multiLevelType w:val="hybridMultilevel"/>
    <w:tmpl w:val="FD0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69BC"/>
    <w:multiLevelType w:val="hybridMultilevel"/>
    <w:tmpl w:val="674A11C6"/>
    <w:lvl w:ilvl="0" w:tplc="548CD404">
      <w:start w:val="1"/>
      <w:numFmt w:val="bullet"/>
      <w:lvlText w:val="•"/>
      <w:lvlJc w:val="left"/>
      <w:pPr>
        <w:tabs>
          <w:tab w:val="num" w:pos="360"/>
        </w:tabs>
        <w:ind w:left="360" w:hanging="360"/>
      </w:pPr>
      <w:rPr>
        <w:rFonts w:ascii="Arial" w:hAnsi="Arial" w:hint="default"/>
      </w:rPr>
    </w:lvl>
    <w:lvl w:ilvl="1" w:tplc="1CA2C6AE">
      <w:numFmt w:val="bullet"/>
      <w:lvlText w:val="•"/>
      <w:lvlJc w:val="left"/>
      <w:pPr>
        <w:tabs>
          <w:tab w:val="num" w:pos="1080"/>
        </w:tabs>
        <w:ind w:left="1080" w:hanging="360"/>
      </w:pPr>
      <w:rPr>
        <w:rFonts w:ascii="Arial" w:hAnsi="Arial" w:hint="default"/>
      </w:rPr>
    </w:lvl>
    <w:lvl w:ilvl="2" w:tplc="79342D1A" w:tentative="1">
      <w:start w:val="1"/>
      <w:numFmt w:val="bullet"/>
      <w:lvlText w:val="•"/>
      <w:lvlJc w:val="left"/>
      <w:pPr>
        <w:tabs>
          <w:tab w:val="num" w:pos="1800"/>
        </w:tabs>
        <w:ind w:left="1800" w:hanging="360"/>
      </w:pPr>
      <w:rPr>
        <w:rFonts w:ascii="Arial" w:hAnsi="Arial" w:hint="default"/>
      </w:rPr>
    </w:lvl>
    <w:lvl w:ilvl="3" w:tplc="BDB20264" w:tentative="1">
      <w:start w:val="1"/>
      <w:numFmt w:val="bullet"/>
      <w:lvlText w:val="•"/>
      <w:lvlJc w:val="left"/>
      <w:pPr>
        <w:tabs>
          <w:tab w:val="num" w:pos="2520"/>
        </w:tabs>
        <w:ind w:left="2520" w:hanging="360"/>
      </w:pPr>
      <w:rPr>
        <w:rFonts w:ascii="Arial" w:hAnsi="Arial" w:hint="default"/>
      </w:rPr>
    </w:lvl>
    <w:lvl w:ilvl="4" w:tplc="2BBC0EE4" w:tentative="1">
      <w:start w:val="1"/>
      <w:numFmt w:val="bullet"/>
      <w:lvlText w:val="•"/>
      <w:lvlJc w:val="left"/>
      <w:pPr>
        <w:tabs>
          <w:tab w:val="num" w:pos="3240"/>
        </w:tabs>
        <w:ind w:left="3240" w:hanging="360"/>
      </w:pPr>
      <w:rPr>
        <w:rFonts w:ascii="Arial" w:hAnsi="Arial" w:hint="default"/>
      </w:rPr>
    </w:lvl>
    <w:lvl w:ilvl="5" w:tplc="AC3029CA" w:tentative="1">
      <w:start w:val="1"/>
      <w:numFmt w:val="bullet"/>
      <w:lvlText w:val="•"/>
      <w:lvlJc w:val="left"/>
      <w:pPr>
        <w:tabs>
          <w:tab w:val="num" w:pos="3960"/>
        </w:tabs>
        <w:ind w:left="3960" w:hanging="360"/>
      </w:pPr>
      <w:rPr>
        <w:rFonts w:ascii="Arial" w:hAnsi="Arial" w:hint="default"/>
      </w:rPr>
    </w:lvl>
    <w:lvl w:ilvl="6" w:tplc="B5A06CC2" w:tentative="1">
      <w:start w:val="1"/>
      <w:numFmt w:val="bullet"/>
      <w:lvlText w:val="•"/>
      <w:lvlJc w:val="left"/>
      <w:pPr>
        <w:tabs>
          <w:tab w:val="num" w:pos="4680"/>
        </w:tabs>
        <w:ind w:left="4680" w:hanging="360"/>
      </w:pPr>
      <w:rPr>
        <w:rFonts w:ascii="Arial" w:hAnsi="Arial" w:hint="default"/>
      </w:rPr>
    </w:lvl>
    <w:lvl w:ilvl="7" w:tplc="C2DE301A" w:tentative="1">
      <w:start w:val="1"/>
      <w:numFmt w:val="bullet"/>
      <w:lvlText w:val="•"/>
      <w:lvlJc w:val="left"/>
      <w:pPr>
        <w:tabs>
          <w:tab w:val="num" w:pos="5400"/>
        </w:tabs>
        <w:ind w:left="5400" w:hanging="360"/>
      </w:pPr>
      <w:rPr>
        <w:rFonts w:ascii="Arial" w:hAnsi="Arial" w:hint="default"/>
      </w:rPr>
    </w:lvl>
    <w:lvl w:ilvl="8" w:tplc="B520129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802326B"/>
    <w:multiLevelType w:val="hybridMultilevel"/>
    <w:tmpl w:val="F05C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809E0"/>
    <w:multiLevelType w:val="hybridMultilevel"/>
    <w:tmpl w:val="4A26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4C4891"/>
    <w:multiLevelType w:val="hybridMultilevel"/>
    <w:tmpl w:val="2820AD16"/>
    <w:lvl w:ilvl="0" w:tplc="38E03C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66222"/>
    <w:multiLevelType w:val="hybridMultilevel"/>
    <w:tmpl w:val="01962A98"/>
    <w:lvl w:ilvl="0" w:tplc="D452F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E1E4D"/>
    <w:multiLevelType w:val="hybridMultilevel"/>
    <w:tmpl w:val="39304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447FC"/>
    <w:multiLevelType w:val="hybridMultilevel"/>
    <w:tmpl w:val="BFF25F58"/>
    <w:lvl w:ilvl="0" w:tplc="1D26AA3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FB0438"/>
    <w:multiLevelType w:val="hybridMultilevel"/>
    <w:tmpl w:val="30CA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287"/>
    <w:multiLevelType w:val="hybridMultilevel"/>
    <w:tmpl w:val="CCB86670"/>
    <w:lvl w:ilvl="0" w:tplc="1D26AA38">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BB79A1"/>
    <w:multiLevelType w:val="hybridMultilevel"/>
    <w:tmpl w:val="C6D46AC0"/>
    <w:lvl w:ilvl="0" w:tplc="5CE06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51D2F"/>
    <w:multiLevelType w:val="hybridMultilevel"/>
    <w:tmpl w:val="BA3042C8"/>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70481"/>
    <w:multiLevelType w:val="multilevel"/>
    <w:tmpl w:val="EBD0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5D1"/>
    <w:multiLevelType w:val="hybridMultilevel"/>
    <w:tmpl w:val="8460DC3A"/>
    <w:lvl w:ilvl="0" w:tplc="AAF60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BB6AB4"/>
    <w:multiLevelType w:val="hybridMultilevel"/>
    <w:tmpl w:val="78B65086"/>
    <w:lvl w:ilvl="0" w:tplc="A04AA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3F78AA"/>
    <w:multiLevelType w:val="hybridMultilevel"/>
    <w:tmpl w:val="CC1CE3F4"/>
    <w:lvl w:ilvl="0" w:tplc="5A76F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6CB7"/>
    <w:multiLevelType w:val="hybridMultilevel"/>
    <w:tmpl w:val="FB96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B7549"/>
    <w:multiLevelType w:val="hybridMultilevel"/>
    <w:tmpl w:val="92044A26"/>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7F4"/>
    <w:multiLevelType w:val="hybridMultilevel"/>
    <w:tmpl w:val="5D3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3142FA"/>
    <w:multiLevelType w:val="hybridMultilevel"/>
    <w:tmpl w:val="07745F1C"/>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12238"/>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FD15A59"/>
    <w:multiLevelType w:val="hybridMultilevel"/>
    <w:tmpl w:val="B31A91E0"/>
    <w:lvl w:ilvl="0" w:tplc="54A25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9"/>
  </w:num>
  <w:num w:numId="3">
    <w:abstractNumId w:val="14"/>
  </w:num>
  <w:num w:numId="4">
    <w:abstractNumId w:val="32"/>
  </w:num>
  <w:num w:numId="5">
    <w:abstractNumId w:val="8"/>
  </w:num>
  <w:num w:numId="6">
    <w:abstractNumId w:val="17"/>
  </w:num>
  <w:num w:numId="7">
    <w:abstractNumId w:val="16"/>
  </w:num>
  <w:num w:numId="8">
    <w:abstractNumId w:val="33"/>
  </w:num>
  <w:num w:numId="9">
    <w:abstractNumId w:val="20"/>
  </w:num>
  <w:num w:numId="10">
    <w:abstractNumId w:val="29"/>
  </w:num>
  <w:num w:numId="11">
    <w:abstractNumId w:val="34"/>
  </w:num>
  <w:num w:numId="12">
    <w:abstractNumId w:val="35"/>
  </w:num>
  <w:num w:numId="13">
    <w:abstractNumId w:val="24"/>
  </w:num>
  <w:num w:numId="14">
    <w:abstractNumId w:val="22"/>
  </w:num>
  <w:num w:numId="15">
    <w:abstractNumId w:val="1"/>
  </w:num>
  <w:num w:numId="16">
    <w:abstractNumId w:val="28"/>
  </w:num>
  <w:num w:numId="17">
    <w:abstractNumId w:val="2"/>
  </w:num>
  <w:num w:numId="18">
    <w:abstractNumId w:val="30"/>
  </w:num>
  <w:num w:numId="19">
    <w:abstractNumId w:val="26"/>
  </w:num>
  <w:num w:numId="20">
    <w:abstractNumId w:val="15"/>
  </w:num>
  <w:num w:numId="21">
    <w:abstractNumId w:val="36"/>
  </w:num>
  <w:num w:numId="22">
    <w:abstractNumId w:val="11"/>
  </w:num>
  <w:num w:numId="23">
    <w:abstractNumId w:val="4"/>
  </w:num>
  <w:num w:numId="24">
    <w:abstractNumId w:val="21"/>
  </w:num>
  <w:num w:numId="25">
    <w:abstractNumId w:val="19"/>
  </w:num>
  <w:num w:numId="26">
    <w:abstractNumId w:val="0"/>
  </w:num>
  <w:num w:numId="27">
    <w:abstractNumId w:val="31"/>
  </w:num>
  <w:num w:numId="28">
    <w:abstractNumId w:val="3"/>
  </w:num>
  <w:num w:numId="29">
    <w:abstractNumId w:val="39"/>
  </w:num>
  <w:num w:numId="30">
    <w:abstractNumId w:val="23"/>
  </w:num>
  <w:num w:numId="31">
    <w:abstractNumId w:val="12"/>
  </w:num>
  <w:num w:numId="32">
    <w:abstractNumId w:val="18"/>
  </w:num>
  <w:num w:numId="33">
    <w:abstractNumId w:val="27"/>
  </w:num>
  <w:num w:numId="34">
    <w:abstractNumId w:val="10"/>
  </w:num>
  <w:num w:numId="35">
    <w:abstractNumId w:val="25"/>
  </w:num>
  <w:num w:numId="36">
    <w:abstractNumId w:val="38"/>
  </w:num>
  <w:num w:numId="37">
    <w:abstractNumId w:val="5"/>
  </w:num>
  <w:num w:numId="38">
    <w:abstractNumId w:val="7"/>
  </w:num>
  <w:num w:numId="39">
    <w:abstractNumId w:val="13"/>
  </w:num>
  <w:num w:numId="40">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89"/>
    <w:rsid w:val="00000EDC"/>
    <w:rsid w:val="00001E93"/>
    <w:rsid w:val="00002A0E"/>
    <w:rsid w:val="00003A36"/>
    <w:rsid w:val="00006379"/>
    <w:rsid w:val="000066E5"/>
    <w:rsid w:val="000068B5"/>
    <w:rsid w:val="00010B91"/>
    <w:rsid w:val="00012DF3"/>
    <w:rsid w:val="00015CC9"/>
    <w:rsid w:val="00020E0E"/>
    <w:rsid w:val="0002436C"/>
    <w:rsid w:val="0002449A"/>
    <w:rsid w:val="000265DF"/>
    <w:rsid w:val="000304A8"/>
    <w:rsid w:val="000323B9"/>
    <w:rsid w:val="00034A79"/>
    <w:rsid w:val="00041A52"/>
    <w:rsid w:val="00045F0E"/>
    <w:rsid w:val="000470C1"/>
    <w:rsid w:val="0004716D"/>
    <w:rsid w:val="000519E3"/>
    <w:rsid w:val="000547AE"/>
    <w:rsid w:val="0005589F"/>
    <w:rsid w:val="00063091"/>
    <w:rsid w:val="00064F78"/>
    <w:rsid w:val="000659C9"/>
    <w:rsid w:val="00072A1A"/>
    <w:rsid w:val="00082C16"/>
    <w:rsid w:val="0008385F"/>
    <w:rsid w:val="00085407"/>
    <w:rsid w:val="00087270"/>
    <w:rsid w:val="00095602"/>
    <w:rsid w:val="000A0C7B"/>
    <w:rsid w:val="000A19A7"/>
    <w:rsid w:val="000A3761"/>
    <w:rsid w:val="000A4334"/>
    <w:rsid w:val="000A52B3"/>
    <w:rsid w:val="000A5AE2"/>
    <w:rsid w:val="000A73CA"/>
    <w:rsid w:val="000B4997"/>
    <w:rsid w:val="000B6C25"/>
    <w:rsid w:val="000C55B8"/>
    <w:rsid w:val="000D3586"/>
    <w:rsid w:val="000D7612"/>
    <w:rsid w:val="000E0E76"/>
    <w:rsid w:val="000E2D53"/>
    <w:rsid w:val="000E369B"/>
    <w:rsid w:val="000E6C53"/>
    <w:rsid w:val="000F476E"/>
    <w:rsid w:val="000F7DB4"/>
    <w:rsid w:val="0010090C"/>
    <w:rsid w:val="00102645"/>
    <w:rsid w:val="00102931"/>
    <w:rsid w:val="00103261"/>
    <w:rsid w:val="00106606"/>
    <w:rsid w:val="00107EAB"/>
    <w:rsid w:val="001100A4"/>
    <w:rsid w:val="00115ADD"/>
    <w:rsid w:val="00116955"/>
    <w:rsid w:val="00117655"/>
    <w:rsid w:val="001306C0"/>
    <w:rsid w:val="001320CF"/>
    <w:rsid w:val="00133391"/>
    <w:rsid w:val="00134BFA"/>
    <w:rsid w:val="00136FFD"/>
    <w:rsid w:val="0013782F"/>
    <w:rsid w:val="00140F7D"/>
    <w:rsid w:val="00141B76"/>
    <w:rsid w:val="00146148"/>
    <w:rsid w:val="001540D4"/>
    <w:rsid w:val="001608A6"/>
    <w:rsid w:val="00161164"/>
    <w:rsid w:val="0016215B"/>
    <w:rsid w:val="00165398"/>
    <w:rsid w:val="00165FB6"/>
    <w:rsid w:val="0017013C"/>
    <w:rsid w:val="00171782"/>
    <w:rsid w:val="00174384"/>
    <w:rsid w:val="00174634"/>
    <w:rsid w:val="001820A4"/>
    <w:rsid w:val="00185446"/>
    <w:rsid w:val="001862A6"/>
    <w:rsid w:val="001869E7"/>
    <w:rsid w:val="0019217E"/>
    <w:rsid w:val="00194743"/>
    <w:rsid w:val="00196581"/>
    <w:rsid w:val="0019683D"/>
    <w:rsid w:val="001A12DC"/>
    <w:rsid w:val="001A4895"/>
    <w:rsid w:val="001A4A33"/>
    <w:rsid w:val="001A624E"/>
    <w:rsid w:val="001A71D4"/>
    <w:rsid w:val="001B19EA"/>
    <w:rsid w:val="001B5940"/>
    <w:rsid w:val="001B72B0"/>
    <w:rsid w:val="001C02FD"/>
    <w:rsid w:val="001C1959"/>
    <w:rsid w:val="001C6F49"/>
    <w:rsid w:val="001C7A40"/>
    <w:rsid w:val="001D1C3A"/>
    <w:rsid w:val="001D58AE"/>
    <w:rsid w:val="001D5B1C"/>
    <w:rsid w:val="001D651F"/>
    <w:rsid w:val="001E2A1D"/>
    <w:rsid w:val="001E606A"/>
    <w:rsid w:val="001E6AEC"/>
    <w:rsid w:val="001F004B"/>
    <w:rsid w:val="001F300C"/>
    <w:rsid w:val="001F4778"/>
    <w:rsid w:val="001F47A4"/>
    <w:rsid w:val="001F49A4"/>
    <w:rsid w:val="00200D35"/>
    <w:rsid w:val="002043CA"/>
    <w:rsid w:val="00206F5B"/>
    <w:rsid w:val="0020735D"/>
    <w:rsid w:val="002074C0"/>
    <w:rsid w:val="0021275C"/>
    <w:rsid w:val="00213F71"/>
    <w:rsid w:val="00216618"/>
    <w:rsid w:val="00220622"/>
    <w:rsid w:val="0022210B"/>
    <w:rsid w:val="00222DD4"/>
    <w:rsid w:val="002259F8"/>
    <w:rsid w:val="0022797A"/>
    <w:rsid w:val="00230179"/>
    <w:rsid w:val="00233835"/>
    <w:rsid w:val="00235F0E"/>
    <w:rsid w:val="00237FD1"/>
    <w:rsid w:val="00241332"/>
    <w:rsid w:val="00241348"/>
    <w:rsid w:val="00242454"/>
    <w:rsid w:val="00250DEE"/>
    <w:rsid w:val="002717B1"/>
    <w:rsid w:val="00272029"/>
    <w:rsid w:val="00276442"/>
    <w:rsid w:val="00276EF7"/>
    <w:rsid w:val="00280D64"/>
    <w:rsid w:val="00281BEB"/>
    <w:rsid w:val="00283F8B"/>
    <w:rsid w:val="002908A7"/>
    <w:rsid w:val="002926F4"/>
    <w:rsid w:val="0029283E"/>
    <w:rsid w:val="0029288D"/>
    <w:rsid w:val="00292AC6"/>
    <w:rsid w:val="002962C4"/>
    <w:rsid w:val="002A1F41"/>
    <w:rsid w:val="002A3273"/>
    <w:rsid w:val="002A6556"/>
    <w:rsid w:val="002A7439"/>
    <w:rsid w:val="002A7A41"/>
    <w:rsid w:val="002B0952"/>
    <w:rsid w:val="002B0FDA"/>
    <w:rsid w:val="002B2DE1"/>
    <w:rsid w:val="002B3E26"/>
    <w:rsid w:val="002B643A"/>
    <w:rsid w:val="002B6A7D"/>
    <w:rsid w:val="002B78F9"/>
    <w:rsid w:val="002C5923"/>
    <w:rsid w:val="002C5BB4"/>
    <w:rsid w:val="002C76EE"/>
    <w:rsid w:val="002D2F07"/>
    <w:rsid w:val="002D6A71"/>
    <w:rsid w:val="002E21E7"/>
    <w:rsid w:val="002E3B79"/>
    <w:rsid w:val="002E4A40"/>
    <w:rsid w:val="002E6B07"/>
    <w:rsid w:val="002F70EF"/>
    <w:rsid w:val="00303D88"/>
    <w:rsid w:val="0030491A"/>
    <w:rsid w:val="00306C38"/>
    <w:rsid w:val="00306D15"/>
    <w:rsid w:val="00310E68"/>
    <w:rsid w:val="003127D3"/>
    <w:rsid w:val="00313460"/>
    <w:rsid w:val="0031536C"/>
    <w:rsid w:val="00317744"/>
    <w:rsid w:val="00317ECB"/>
    <w:rsid w:val="00323050"/>
    <w:rsid w:val="003312B8"/>
    <w:rsid w:val="0033478E"/>
    <w:rsid w:val="00337CE5"/>
    <w:rsid w:val="003409EA"/>
    <w:rsid w:val="00342252"/>
    <w:rsid w:val="003443F0"/>
    <w:rsid w:val="00344EAE"/>
    <w:rsid w:val="00352982"/>
    <w:rsid w:val="00353F6C"/>
    <w:rsid w:val="003540CF"/>
    <w:rsid w:val="00354844"/>
    <w:rsid w:val="00356328"/>
    <w:rsid w:val="003621B9"/>
    <w:rsid w:val="00364FEC"/>
    <w:rsid w:val="0037107E"/>
    <w:rsid w:val="00374413"/>
    <w:rsid w:val="0037625F"/>
    <w:rsid w:val="003839F4"/>
    <w:rsid w:val="003875A9"/>
    <w:rsid w:val="00387E0A"/>
    <w:rsid w:val="00391BE4"/>
    <w:rsid w:val="00394619"/>
    <w:rsid w:val="00396976"/>
    <w:rsid w:val="00397640"/>
    <w:rsid w:val="003A211F"/>
    <w:rsid w:val="003A5440"/>
    <w:rsid w:val="003A7859"/>
    <w:rsid w:val="003A7AD8"/>
    <w:rsid w:val="003B0891"/>
    <w:rsid w:val="003B524C"/>
    <w:rsid w:val="003B61D0"/>
    <w:rsid w:val="003B63B1"/>
    <w:rsid w:val="003C091D"/>
    <w:rsid w:val="003C1314"/>
    <w:rsid w:val="003C3116"/>
    <w:rsid w:val="003C6422"/>
    <w:rsid w:val="003D1901"/>
    <w:rsid w:val="003E2B08"/>
    <w:rsid w:val="003F0CBB"/>
    <w:rsid w:val="003F3A5D"/>
    <w:rsid w:val="003F5FB6"/>
    <w:rsid w:val="00400847"/>
    <w:rsid w:val="00403CC7"/>
    <w:rsid w:val="00404557"/>
    <w:rsid w:val="004066C6"/>
    <w:rsid w:val="0040696C"/>
    <w:rsid w:val="00410C1E"/>
    <w:rsid w:val="00415000"/>
    <w:rsid w:val="0041524F"/>
    <w:rsid w:val="00420979"/>
    <w:rsid w:val="00421559"/>
    <w:rsid w:val="00423CDB"/>
    <w:rsid w:val="00433BDE"/>
    <w:rsid w:val="00435368"/>
    <w:rsid w:val="0043786F"/>
    <w:rsid w:val="00440053"/>
    <w:rsid w:val="00442E5E"/>
    <w:rsid w:val="00444D4E"/>
    <w:rsid w:val="004459BD"/>
    <w:rsid w:val="00451F61"/>
    <w:rsid w:val="00456294"/>
    <w:rsid w:val="0046122E"/>
    <w:rsid w:val="00462ADF"/>
    <w:rsid w:val="00463C99"/>
    <w:rsid w:val="00467B82"/>
    <w:rsid w:val="00471DBC"/>
    <w:rsid w:val="00474E4C"/>
    <w:rsid w:val="00482573"/>
    <w:rsid w:val="004905D0"/>
    <w:rsid w:val="00497731"/>
    <w:rsid w:val="004A25FF"/>
    <w:rsid w:val="004B2490"/>
    <w:rsid w:val="004B7C98"/>
    <w:rsid w:val="004C0DF1"/>
    <w:rsid w:val="004C0EB3"/>
    <w:rsid w:val="004C4C5A"/>
    <w:rsid w:val="004D4798"/>
    <w:rsid w:val="004D51FA"/>
    <w:rsid w:val="004D5B13"/>
    <w:rsid w:val="004D77E0"/>
    <w:rsid w:val="004D7D6D"/>
    <w:rsid w:val="004E1722"/>
    <w:rsid w:val="004E249F"/>
    <w:rsid w:val="004F251D"/>
    <w:rsid w:val="004F31B1"/>
    <w:rsid w:val="004F36F7"/>
    <w:rsid w:val="004F412F"/>
    <w:rsid w:val="0050033A"/>
    <w:rsid w:val="005019B3"/>
    <w:rsid w:val="00502464"/>
    <w:rsid w:val="00504E37"/>
    <w:rsid w:val="00505E4E"/>
    <w:rsid w:val="00507DEA"/>
    <w:rsid w:val="00510027"/>
    <w:rsid w:val="00513C3F"/>
    <w:rsid w:val="005145A1"/>
    <w:rsid w:val="0052018F"/>
    <w:rsid w:val="005221C7"/>
    <w:rsid w:val="00523DF9"/>
    <w:rsid w:val="0052625A"/>
    <w:rsid w:val="00530BB8"/>
    <w:rsid w:val="00531483"/>
    <w:rsid w:val="00534CF9"/>
    <w:rsid w:val="00535536"/>
    <w:rsid w:val="005410E5"/>
    <w:rsid w:val="005417D8"/>
    <w:rsid w:val="00541A92"/>
    <w:rsid w:val="00541F34"/>
    <w:rsid w:val="0054227A"/>
    <w:rsid w:val="005427F4"/>
    <w:rsid w:val="00543DC2"/>
    <w:rsid w:val="0054452B"/>
    <w:rsid w:val="00544FFB"/>
    <w:rsid w:val="0055182C"/>
    <w:rsid w:val="005525D2"/>
    <w:rsid w:val="005543D0"/>
    <w:rsid w:val="00560E58"/>
    <w:rsid w:val="00563977"/>
    <w:rsid w:val="0056454A"/>
    <w:rsid w:val="00566F34"/>
    <w:rsid w:val="00567C71"/>
    <w:rsid w:val="00567E17"/>
    <w:rsid w:val="0057024D"/>
    <w:rsid w:val="00575D63"/>
    <w:rsid w:val="005771C3"/>
    <w:rsid w:val="00580FED"/>
    <w:rsid w:val="00583948"/>
    <w:rsid w:val="00584E22"/>
    <w:rsid w:val="005903F8"/>
    <w:rsid w:val="00594BEB"/>
    <w:rsid w:val="005977A5"/>
    <w:rsid w:val="005A1298"/>
    <w:rsid w:val="005A44F8"/>
    <w:rsid w:val="005A462D"/>
    <w:rsid w:val="005A5A78"/>
    <w:rsid w:val="005A6BAC"/>
    <w:rsid w:val="005B0CFE"/>
    <w:rsid w:val="005B0D64"/>
    <w:rsid w:val="005B23F4"/>
    <w:rsid w:val="005B365D"/>
    <w:rsid w:val="005B52AA"/>
    <w:rsid w:val="005B55D4"/>
    <w:rsid w:val="005C1BF0"/>
    <w:rsid w:val="005C46FC"/>
    <w:rsid w:val="005C61E0"/>
    <w:rsid w:val="005C7E00"/>
    <w:rsid w:val="005D2013"/>
    <w:rsid w:val="005D30A4"/>
    <w:rsid w:val="005D3FAC"/>
    <w:rsid w:val="005D4E22"/>
    <w:rsid w:val="005D56AD"/>
    <w:rsid w:val="005D6685"/>
    <w:rsid w:val="005D69A2"/>
    <w:rsid w:val="005E0361"/>
    <w:rsid w:val="005E0A71"/>
    <w:rsid w:val="005E186B"/>
    <w:rsid w:val="005E1FD9"/>
    <w:rsid w:val="005E2CF2"/>
    <w:rsid w:val="005E4F3E"/>
    <w:rsid w:val="005E5FC5"/>
    <w:rsid w:val="005E6504"/>
    <w:rsid w:val="005E7092"/>
    <w:rsid w:val="005E76F6"/>
    <w:rsid w:val="005E7CC5"/>
    <w:rsid w:val="005F5631"/>
    <w:rsid w:val="005F5F5D"/>
    <w:rsid w:val="005F76A3"/>
    <w:rsid w:val="00603A63"/>
    <w:rsid w:val="006044DC"/>
    <w:rsid w:val="00606D76"/>
    <w:rsid w:val="006140D5"/>
    <w:rsid w:val="00615159"/>
    <w:rsid w:val="00616C77"/>
    <w:rsid w:val="00617CBA"/>
    <w:rsid w:val="00624BE8"/>
    <w:rsid w:val="00626D42"/>
    <w:rsid w:val="006306E0"/>
    <w:rsid w:val="00633BBB"/>
    <w:rsid w:val="00634C04"/>
    <w:rsid w:val="00637976"/>
    <w:rsid w:val="006404EA"/>
    <w:rsid w:val="00642A96"/>
    <w:rsid w:val="00646787"/>
    <w:rsid w:val="00646D01"/>
    <w:rsid w:val="00650BC0"/>
    <w:rsid w:val="00651ABF"/>
    <w:rsid w:val="00651ED4"/>
    <w:rsid w:val="00652E6B"/>
    <w:rsid w:val="006660EB"/>
    <w:rsid w:val="00667DB4"/>
    <w:rsid w:val="00670F9E"/>
    <w:rsid w:val="0067249B"/>
    <w:rsid w:val="00673FD1"/>
    <w:rsid w:val="00685088"/>
    <w:rsid w:val="00686A4D"/>
    <w:rsid w:val="0069221D"/>
    <w:rsid w:val="0069364E"/>
    <w:rsid w:val="00693669"/>
    <w:rsid w:val="00694409"/>
    <w:rsid w:val="006954E2"/>
    <w:rsid w:val="00696669"/>
    <w:rsid w:val="006A1161"/>
    <w:rsid w:val="006A4669"/>
    <w:rsid w:val="006A56E4"/>
    <w:rsid w:val="006A7A16"/>
    <w:rsid w:val="006B21CE"/>
    <w:rsid w:val="006B24DB"/>
    <w:rsid w:val="006B6358"/>
    <w:rsid w:val="006B6CA2"/>
    <w:rsid w:val="006C2344"/>
    <w:rsid w:val="006C5834"/>
    <w:rsid w:val="006C6043"/>
    <w:rsid w:val="006E5B92"/>
    <w:rsid w:val="006F0F71"/>
    <w:rsid w:val="0070105A"/>
    <w:rsid w:val="0071748E"/>
    <w:rsid w:val="007246D8"/>
    <w:rsid w:val="007257CA"/>
    <w:rsid w:val="0073021E"/>
    <w:rsid w:val="00732F64"/>
    <w:rsid w:val="007348EC"/>
    <w:rsid w:val="00735532"/>
    <w:rsid w:val="007362E0"/>
    <w:rsid w:val="00743744"/>
    <w:rsid w:val="007442B8"/>
    <w:rsid w:val="00747371"/>
    <w:rsid w:val="00753D08"/>
    <w:rsid w:val="00755349"/>
    <w:rsid w:val="007620C0"/>
    <w:rsid w:val="00763AD5"/>
    <w:rsid w:val="00763C0B"/>
    <w:rsid w:val="0076430B"/>
    <w:rsid w:val="00767081"/>
    <w:rsid w:val="007676CD"/>
    <w:rsid w:val="00770472"/>
    <w:rsid w:val="00771A30"/>
    <w:rsid w:val="00774347"/>
    <w:rsid w:val="00775205"/>
    <w:rsid w:val="0078260E"/>
    <w:rsid w:val="007847C0"/>
    <w:rsid w:val="0079062D"/>
    <w:rsid w:val="00790AE0"/>
    <w:rsid w:val="0079155A"/>
    <w:rsid w:val="00792F26"/>
    <w:rsid w:val="007937BC"/>
    <w:rsid w:val="0079502A"/>
    <w:rsid w:val="00796731"/>
    <w:rsid w:val="00797B10"/>
    <w:rsid w:val="007A4CAE"/>
    <w:rsid w:val="007A4FB8"/>
    <w:rsid w:val="007B5E8F"/>
    <w:rsid w:val="007B6305"/>
    <w:rsid w:val="007B7318"/>
    <w:rsid w:val="007C0C46"/>
    <w:rsid w:val="007C1D1D"/>
    <w:rsid w:val="007C5683"/>
    <w:rsid w:val="007C6A8C"/>
    <w:rsid w:val="007D103F"/>
    <w:rsid w:val="007D1EB9"/>
    <w:rsid w:val="007D2E0A"/>
    <w:rsid w:val="007D42F1"/>
    <w:rsid w:val="007D4C80"/>
    <w:rsid w:val="007D4F01"/>
    <w:rsid w:val="007D7506"/>
    <w:rsid w:val="007E0FE4"/>
    <w:rsid w:val="007E43BF"/>
    <w:rsid w:val="007E4678"/>
    <w:rsid w:val="007F15A9"/>
    <w:rsid w:val="007F23BD"/>
    <w:rsid w:val="007F2918"/>
    <w:rsid w:val="007F2A9D"/>
    <w:rsid w:val="007F3F41"/>
    <w:rsid w:val="007F5520"/>
    <w:rsid w:val="007F7876"/>
    <w:rsid w:val="008025DA"/>
    <w:rsid w:val="008042C8"/>
    <w:rsid w:val="00807E74"/>
    <w:rsid w:val="00810FCC"/>
    <w:rsid w:val="00811132"/>
    <w:rsid w:val="0081208D"/>
    <w:rsid w:val="008136B8"/>
    <w:rsid w:val="0081438E"/>
    <w:rsid w:val="00816216"/>
    <w:rsid w:val="00821EE3"/>
    <w:rsid w:val="0082265D"/>
    <w:rsid w:val="00823BFD"/>
    <w:rsid w:val="00824A03"/>
    <w:rsid w:val="00825225"/>
    <w:rsid w:val="008262BC"/>
    <w:rsid w:val="008279F1"/>
    <w:rsid w:val="00833450"/>
    <w:rsid w:val="00835A24"/>
    <w:rsid w:val="00843AF4"/>
    <w:rsid w:val="00844305"/>
    <w:rsid w:val="00844674"/>
    <w:rsid w:val="00845636"/>
    <w:rsid w:val="0084658B"/>
    <w:rsid w:val="00850257"/>
    <w:rsid w:val="0085105E"/>
    <w:rsid w:val="008528D3"/>
    <w:rsid w:val="0085398C"/>
    <w:rsid w:val="00855DEF"/>
    <w:rsid w:val="00857218"/>
    <w:rsid w:val="00857BB7"/>
    <w:rsid w:val="00857EA1"/>
    <w:rsid w:val="00860023"/>
    <w:rsid w:val="0086623A"/>
    <w:rsid w:val="00872391"/>
    <w:rsid w:val="00873E89"/>
    <w:rsid w:val="008748A6"/>
    <w:rsid w:val="008753AD"/>
    <w:rsid w:val="00875726"/>
    <w:rsid w:val="00887506"/>
    <w:rsid w:val="008904FB"/>
    <w:rsid w:val="00890884"/>
    <w:rsid w:val="00891A27"/>
    <w:rsid w:val="00891FCF"/>
    <w:rsid w:val="00892D6E"/>
    <w:rsid w:val="0089527A"/>
    <w:rsid w:val="00896D1A"/>
    <w:rsid w:val="008B140A"/>
    <w:rsid w:val="008B1943"/>
    <w:rsid w:val="008B19E6"/>
    <w:rsid w:val="008B1D59"/>
    <w:rsid w:val="008B6319"/>
    <w:rsid w:val="008C1F53"/>
    <w:rsid w:val="008C3826"/>
    <w:rsid w:val="008C48E6"/>
    <w:rsid w:val="008C68B0"/>
    <w:rsid w:val="008D0372"/>
    <w:rsid w:val="008D087B"/>
    <w:rsid w:val="008D0DCA"/>
    <w:rsid w:val="008D265A"/>
    <w:rsid w:val="008D44D9"/>
    <w:rsid w:val="008D4A10"/>
    <w:rsid w:val="008E20B3"/>
    <w:rsid w:val="008E71BB"/>
    <w:rsid w:val="008E793F"/>
    <w:rsid w:val="008F15DD"/>
    <w:rsid w:val="008F2CB3"/>
    <w:rsid w:val="008F3B99"/>
    <w:rsid w:val="008F7DE0"/>
    <w:rsid w:val="00905D0D"/>
    <w:rsid w:val="00907672"/>
    <w:rsid w:val="00916725"/>
    <w:rsid w:val="009169D9"/>
    <w:rsid w:val="00916F73"/>
    <w:rsid w:val="009202EC"/>
    <w:rsid w:val="0092224D"/>
    <w:rsid w:val="00923D89"/>
    <w:rsid w:val="009246B9"/>
    <w:rsid w:val="009247F9"/>
    <w:rsid w:val="00927472"/>
    <w:rsid w:val="00930C3A"/>
    <w:rsid w:val="00931F5C"/>
    <w:rsid w:val="009329A8"/>
    <w:rsid w:val="00934FF1"/>
    <w:rsid w:val="00941488"/>
    <w:rsid w:val="009453D5"/>
    <w:rsid w:val="00947849"/>
    <w:rsid w:val="00955878"/>
    <w:rsid w:val="009566DF"/>
    <w:rsid w:val="00956EE7"/>
    <w:rsid w:val="00960952"/>
    <w:rsid w:val="009624C7"/>
    <w:rsid w:val="00962762"/>
    <w:rsid w:val="00962F7C"/>
    <w:rsid w:val="0096324D"/>
    <w:rsid w:val="0096399C"/>
    <w:rsid w:val="00963C1F"/>
    <w:rsid w:val="00965ECC"/>
    <w:rsid w:val="009664BB"/>
    <w:rsid w:val="00972259"/>
    <w:rsid w:val="009727F3"/>
    <w:rsid w:val="00972D6D"/>
    <w:rsid w:val="0097492B"/>
    <w:rsid w:val="00974CAB"/>
    <w:rsid w:val="00983E7F"/>
    <w:rsid w:val="00984062"/>
    <w:rsid w:val="0098773D"/>
    <w:rsid w:val="009955A3"/>
    <w:rsid w:val="00995EE8"/>
    <w:rsid w:val="00995F9C"/>
    <w:rsid w:val="009978FE"/>
    <w:rsid w:val="009A0218"/>
    <w:rsid w:val="009A5ECB"/>
    <w:rsid w:val="009A7862"/>
    <w:rsid w:val="009B70FB"/>
    <w:rsid w:val="009C0855"/>
    <w:rsid w:val="009C412D"/>
    <w:rsid w:val="009C5837"/>
    <w:rsid w:val="009D66CB"/>
    <w:rsid w:val="009E5373"/>
    <w:rsid w:val="009E5B45"/>
    <w:rsid w:val="009E624D"/>
    <w:rsid w:val="009F0B6B"/>
    <w:rsid w:val="009F1225"/>
    <w:rsid w:val="009F131B"/>
    <w:rsid w:val="009F79BC"/>
    <w:rsid w:val="00A0135A"/>
    <w:rsid w:val="00A027CD"/>
    <w:rsid w:val="00A12125"/>
    <w:rsid w:val="00A20EBD"/>
    <w:rsid w:val="00A2131F"/>
    <w:rsid w:val="00A2184B"/>
    <w:rsid w:val="00A248D9"/>
    <w:rsid w:val="00A25403"/>
    <w:rsid w:val="00A2599C"/>
    <w:rsid w:val="00A30748"/>
    <w:rsid w:val="00A34821"/>
    <w:rsid w:val="00A4365B"/>
    <w:rsid w:val="00A43EDF"/>
    <w:rsid w:val="00A44E9B"/>
    <w:rsid w:val="00A459C3"/>
    <w:rsid w:val="00A478FA"/>
    <w:rsid w:val="00A53D33"/>
    <w:rsid w:val="00A54B95"/>
    <w:rsid w:val="00A5779C"/>
    <w:rsid w:val="00A607EF"/>
    <w:rsid w:val="00A607F7"/>
    <w:rsid w:val="00A60D0C"/>
    <w:rsid w:val="00A6760A"/>
    <w:rsid w:val="00A70221"/>
    <w:rsid w:val="00A720FD"/>
    <w:rsid w:val="00A74799"/>
    <w:rsid w:val="00A7536E"/>
    <w:rsid w:val="00A76B30"/>
    <w:rsid w:val="00A866D1"/>
    <w:rsid w:val="00A91675"/>
    <w:rsid w:val="00A92A7E"/>
    <w:rsid w:val="00A9364F"/>
    <w:rsid w:val="00A95BC7"/>
    <w:rsid w:val="00A972E0"/>
    <w:rsid w:val="00A97D10"/>
    <w:rsid w:val="00AA2049"/>
    <w:rsid w:val="00AA32C5"/>
    <w:rsid w:val="00AA611C"/>
    <w:rsid w:val="00AA7C6A"/>
    <w:rsid w:val="00AB0590"/>
    <w:rsid w:val="00AB0BB4"/>
    <w:rsid w:val="00AB33B8"/>
    <w:rsid w:val="00AB5686"/>
    <w:rsid w:val="00AC2B27"/>
    <w:rsid w:val="00AC2C44"/>
    <w:rsid w:val="00AC600B"/>
    <w:rsid w:val="00AC757E"/>
    <w:rsid w:val="00AD03FE"/>
    <w:rsid w:val="00AD0DDD"/>
    <w:rsid w:val="00AD1AAB"/>
    <w:rsid w:val="00AD3022"/>
    <w:rsid w:val="00AD774E"/>
    <w:rsid w:val="00AE0A17"/>
    <w:rsid w:val="00AE1044"/>
    <w:rsid w:val="00AE38DF"/>
    <w:rsid w:val="00AE48B0"/>
    <w:rsid w:val="00AF38EA"/>
    <w:rsid w:val="00AF3A81"/>
    <w:rsid w:val="00AF4D7A"/>
    <w:rsid w:val="00AF62C9"/>
    <w:rsid w:val="00AF7343"/>
    <w:rsid w:val="00B07586"/>
    <w:rsid w:val="00B10C87"/>
    <w:rsid w:val="00B12F82"/>
    <w:rsid w:val="00B14D98"/>
    <w:rsid w:val="00B17870"/>
    <w:rsid w:val="00B236D3"/>
    <w:rsid w:val="00B23ECD"/>
    <w:rsid w:val="00B279F5"/>
    <w:rsid w:val="00B30B68"/>
    <w:rsid w:val="00B30CF7"/>
    <w:rsid w:val="00B31D33"/>
    <w:rsid w:val="00B36B3F"/>
    <w:rsid w:val="00B36C3B"/>
    <w:rsid w:val="00B37D11"/>
    <w:rsid w:val="00B37DBB"/>
    <w:rsid w:val="00B40929"/>
    <w:rsid w:val="00B42BC7"/>
    <w:rsid w:val="00B43581"/>
    <w:rsid w:val="00B52B20"/>
    <w:rsid w:val="00B56055"/>
    <w:rsid w:val="00B56F12"/>
    <w:rsid w:val="00B64A66"/>
    <w:rsid w:val="00B70678"/>
    <w:rsid w:val="00B727CC"/>
    <w:rsid w:val="00B727FF"/>
    <w:rsid w:val="00B80D08"/>
    <w:rsid w:val="00B84311"/>
    <w:rsid w:val="00B90B77"/>
    <w:rsid w:val="00B92B6C"/>
    <w:rsid w:val="00B93A30"/>
    <w:rsid w:val="00BA04B8"/>
    <w:rsid w:val="00BA0B0D"/>
    <w:rsid w:val="00BA4151"/>
    <w:rsid w:val="00BA6147"/>
    <w:rsid w:val="00BA682B"/>
    <w:rsid w:val="00BB0218"/>
    <w:rsid w:val="00BB32AD"/>
    <w:rsid w:val="00BC1ACC"/>
    <w:rsid w:val="00BC2BFD"/>
    <w:rsid w:val="00BC4A12"/>
    <w:rsid w:val="00BC4B77"/>
    <w:rsid w:val="00BC6E8D"/>
    <w:rsid w:val="00BC7BE2"/>
    <w:rsid w:val="00BC7C51"/>
    <w:rsid w:val="00BD205C"/>
    <w:rsid w:val="00BD2B52"/>
    <w:rsid w:val="00BD4059"/>
    <w:rsid w:val="00BD6A02"/>
    <w:rsid w:val="00BD75EB"/>
    <w:rsid w:val="00BE0F13"/>
    <w:rsid w:val="00BE22F2"/>
    <w:rsid w:val="00BE7D53"/>
    <w:rsid w:val="00BF4C8A"/>
    <w:rsid w:val="00C07743"/>
    <w:rsid w:val="00C11B2B"/>
    <w:rsid w:val="00C12811"/>
    <w:rsid w:val="00C166FD"/>
    <w:rsid w:val="00C20252"/>
    <w:rsid w:val="00C22F70"/>
    <w:rsid w:val="00C237D2"/>
    <w:rsid w:val="00C27699"/>
    <w:rsid w:val="00C31165"/>
    <w:rsid w:val="00C31C6F"/>
    <w:rsid w:val="00C3291E"/>
    <w:rsid w:val="00C32D1F"/>
    <w:rsid w:val="00C342AD"/>
    <w:rsid w:val="00C363FD"/>
    <w:rsid w:val="00C375EC"/>
    <w:rsid w:val="00C45602"/>
    <w:rsid w:val="00C45C2B"/>
    <w:rsid w:val="00C52028"/>
    <w:rsid w:val="00C52A34"/>
    <w:rsid w:val="00C634C5"/>
    <w:rsid w:val="00C65DB0"/>
    <w:rsid w:val="00C665E2"/>
    <w:rsid w:val="00C66ADA"/>
    <w:rsid w:val="00C711E1"/>
    <w:rsid w:val="00C71D37"/>
    <w:rsid w:val="00C74C55"/>
    <w:rsid w:val="00C765E9"/>
    <w:rsid w:val="00C76B1E"/>
    <w:rsid w:val="00C76CF8"/>
    <w:rsid w:val="00C80AE4"/>
    <w:rsid w:val="00C8191B"/>
    <w:rsid w:val="00C83F3E"/>
    <w:rsid w:val="00C842DE"/>
    <w:rsid w:val="00C8454D"/>
    <w:rsid w:val="00C862E9"/>
    <w:rsid w:val="00C87323"/>
    <w:rsid w:val="00C90D50"/>
    <w:rsid w:val="00C90D72"/>
    <w:rsid w:val="00C91A36"/>
    <w:rsid w:val="00C947F4"/>
    <w:rsid w:val="00C97BBD"/>
    <w:rsid w:val="00CA6A00"/>
    <w:rsid w:val="00CB12EA"/>
    <w:rsid w:val="00CB1372"/>
    <w:rsid w:val="00CB1888"/>
    <w:rsid w:val="00CB374E"/>
    <w:rsid w:val="00CB6BB3"/>
    <w:rsid w:val="00CC3753"/>
    <w:rsid w:val="00CC500C"/>
    <w:rsid w:val="00CD0871"/>
    <w:rsid w:val="00CD48C7"/>
    <w:rsid w:val="00CD6231"/>
    <w:rsid w:val="00CE51CF"/>
    <w:rsid w:val="00CF1180"/>
    <w:rsid w:val="00CF4433"/>
    <w:rsid w:val="00CF4AEC"/>
    <w:rsid w:val="00CF5166"/>
    <w:rsid w:val="00CF55B2"/>
    <w:rsid w:val="00CF6AFF"/>
    <w:rsid w:val="00D04DDB"/>
    <w:rsid w:val="00D06992"/>
    <w:rsid w:val="00D1031C"/>
    <w:rsid w:val="00D107EF"/>
    <w:rsid w:val="00D120D4"/>
    <w:rsid w:val="00D1368C"/>
    <w:rsid w:val="00D140C5"/>
    <w:rsid w:val="00D14D07"/>
    <w:rsid w:val="00D1657B"/>
    <w:rsid w:val="00D16DD2"/>
    <w:rsid w:val="00D20A2F"/>
    <w:rsid w:val="00D268D8"/>
    <w:rsid w:val="00D31764"/>
    <w:rsid w:val="00D31876"/>
    <w:rsid w:val="00D37456"/>
    <w:rsid w:val="00D378D2"/>
    <w:rsid w:val="00D40CC6"/>
    <w:rsid w:val="00D40D3D"/>
    <w:rsid w:val="00D41696"/>
    <w:rsid w:val="00D42CFF"/>
    <w:rsid w:val="00D52071"/>
    <w:rsid w:val="00D53356"/>
    <w:rsid w:val="00D5538A"/>
    <w:rsid w:val="00D571C2"/>
    <w:rsid w:val="00D57A60"/>
    <w:rsid w:val="00D653B1"/>
    <w:rsid w:val="00D6799B"/>
    <w:rsid w:val="00D71604"/>
    <w:rsid w:val="00D73BCB"/>
    <w:rsid w:val="00D81701"/>
    <w:rsid w:val="00D82195"/>
    <w:rsid w:val="00D87027"/>
    <w:rsid w:val="00D9070E"/>
    <w:rsid w:val="00D9084F"/>
    <w:rsid w:val="00D93330"/>
    <w:rsid w:val="00D94B79"/>
    <w:rsid w:val="00D95D37"/>
    <w:rsid w:val="00D95D61"/>
    <w:rsid w:val="00D96964"/>
    <w:rsid w:val="00DA00D0"/>
    <w:rsid w:val="00DA50D0"/>
    <w:rsid w:val="00DB1855"/>
    <w:rsid w:val="00DB3411"/>
    <w:rsid w:val="00DB3BC4"/>
    <w:rsid w:val="00DB62D1"/>
    <w:rsid w:val="00DB7EA7"/>
    <w:rsid w:val="00DC5DF6"/>
    <w:rsid w:val="00DC752D"/>
    <w:rsid w:val="00DD3931"/>
    <w:rsid w:val="00DE1484"/>
    <w:rsid w:val="00DE5918"/>
    <w:rsid w:val="00DE6405"/>
    <w:rsid w:val="00DF0AEE"/>
    <w:rsid w:val="00DF5271"/>
    <w:rsid w:val="00DF69C3"/>
    <w:rsid w:val="00DF7ED7"/>
    <w:rsid w:val="00E05538"/>
    <w:rsid w:val="00E103A5"/>
    <w:rsid w:val="00E1507B"/>
    <w:rsid w:val="00E16568"/>
    <w:rsid w:val="00E22A10"/>
    <w:rsid w:val="00E24A31"/>
    <w:rsid w:val="00E250AC"/>
    <w:rsid w:val="00E263D7"/>
    <w:rsid w:val="00E278C0"/>
    <w:rsid w:val="00E33398"/>
    <w:rsid w:val="00E348AC"/>
    <w:rsid w:val="00E3790C"/>
    <w:rsid w:val="00E4162B"/>
    <w:rsid w:val="00E43D2C"/>
    <w:rsid w:val="00E44C4D"/>
    <w:rsid w:val="00E45D9E"/>
    <w:rsid w:val="00E515D6"/>
    <w:rsid w:val="00E51CC7"/>
    <w:rsid w:val="00E62E13"/>
    <w:rsid w:val="00E63AC4"/>
    <w:rsid w:val="00E64986"/>
    <w:rsid w:val="00E663E8"/>
    <w:rsid w:val="00E7575B"/>
    <w:rsid w:val="00E75ACB"/>
    <w:rsid w:val="00E76D68"/>
    <w:rsid w:val="00E77B7F"/>
    <w:rsid w:val="00E82393"/>
    <w:rsid w:val="00E823FF"/>
    <w:rsid w:val="00E82913"/>
    <w:rsid w:val="00E82CA1"/>
    <w:rsid w:val="00E852F2"/>
    <w:rsid w:val="00E85BDE"/>
    <w:rsid w:val="00E86424"/>
    <w:rsid w:val="00E86B79"/>
    <w:rsid w:val="00E94F1B"/>
    <w:rsid w:val="00E96CB7"/>
    <w:rsid w:val="00E96D2D"/>
    <w:rsid w:val="00E971E7"/>
    <w:rsid w:val="00E97977"/>
    <w:rsid w:val="00EA0865"/>
    <w:rsid w:val="00EA0989"/>
    <w:rsid w:val="00EA2620"/>
    <w:rsid w:val="00EA5502"/>
    <w:rsid w:val="00EA659B"/>
    <w:rsid w:val="00EC238A"/>
    <w:rsid w:val="00EC3EF6"/>
    <w:rsid w:val="00EC51AD"/>
    <w:rsid w:val="00EC63CB"/>
    <w:rsid w:val="00EC76CF"/>
    <w:rsid w:val="00EC7BB7"/>
    <w:rsid w:val="00EC7F1F"/>
    <w:rsid w:val="00EC7FE1"/>
    <w:rsid w:val="00ED1325"/>
    <w:rsid w:val="00EE0E84"/>
    <w:rsid w:val="00EE18BC"/>
    <w:rsid w:val="00EE1CAF"/>
    <w:rsid w:val="00EE3862"/>
    <w:rsid w:val="00EF11F6"/>
    <w:rsid w:val="00EF2394"/>
    <w:rsid w:val="00EF2536"/>
    <w:rsid w:val="00EF2AC6"/>
    <w:rsid w:val="00EF543D"/>
    <w:rsid w:val="00F00C64"/>
    <w:rsid w:val="00F016B9"/>
    <w:rsid w:val="00F01B9F"/>
    <w:rsid w:val="00F027DB"/>
    <w:rsid w:val="00F03D90"/>
    <w:rsid w:val="00F05609"/>
    <w:rsid w:val="00F07701"/>
    <w:rsid w:val="00F10469"/>
    <w:rsid w:val="00F1057F"/>
    <w:rsid w:val="00F14368"/>
    <w:rsid w:val="00F14DD2"/>
    <w:rsid w:val="00F17AB8"/>
    <w:rsid w:val="00F256F0"/>
    <w:rsid w:val="00F2622F"/>
    <w:rsid w:val="00F27CBC"/>
    <w:rsid w:val="00F32BDD"/>
    <w:rsid w:val="00F32FF3"/>
    <w:rsid w:val="00F36B16"/>
    <w:rsid w:val="00F37B5E"/>
    <w:rsid w:val="00F438FD"/>
    <w:rsid w:val="00F44ED6"/>
    <w:rsid w:val="00F47225"/>
    <w:rsid w:val="00F51B0A"/>
    <w:rsid w:val="00F55322"/>
    <w:rsid w:val="00F6086B"/>
    <w:rsid w:val="00F62AEC"/>
    <w:rsid w:val="00F71842"/>
    <w:rsid w:val="00F71E2A"/>
    <w:rsid w:val="00F722A7"/>
    <w:rsid w:val="00F723B9"/>
    <w:rsid w:val="00F73A41"/>
    <w:rsid w:val="00F756C2"/>
    <w:rsid w:val="00F769D9"/>
    <w:rsid w:val="00F83A2E"/>
    <w:rsid w:val="00F84542"/>
    <w:rsid w:val="00F84B93"/>
    <w:rsid w:val="00F928BF"/>
    <w:rsid w:val="00F93118"/>
    <w:rsid w:val="00F932F3"/>
    <w:rsid w:val="00F9596C"/>
    <w:rsid w:val="00F96092"/>
    <w:rsid w:val="00F9647B"/>
    <w:rsid w:val="00FA3607"/>
    <w:rsid w:val="00FA6C3C"/>
    <w:rsid w:val="00FB02D4"/>
    <w:rsid w:val="00FB0CD1"/>
    <w:rsid w:val="00FB1608"/>
    <w:rsid w:val="00FB73C9"/>
    <w:rsid w:val="00FC1C28"/>
    <w:rsid w:val="00FC5736"/>
    <w:rsid w:val="00FD4281"/>
    <w:rsid w:val="00FD6DA3"/>
    <w:rsid w:val="00FE3AFC"/>
    <w:rsid w:val="00FE5176"/>
    <w:rsid w:val="00FE5505"/>
    <w:rsid w:val="00FF1121"/>
    <w:rsid w:val="00FF14A5"/>
    <w:rsid w:val="00FF30C2"/>
    <w:rsid w:val="00F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88D"/>
  <w15:chartTrackingRefBased/>
  <w15:docId w15:val="{20B0F19B-3F68-4361-B0B9-48F15C6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5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B8"/>
    <w:pPr>
      <w:ind w:left="720"/>
      <w:contextualSpacing/>
    </w:pPr>
  </w:style>
  <w:style w:type="character" w:styleId="CommentReference">
    <w:name w:val="annotation reference"/>
    <w:basedOn w:val="DefaultParagraphFont"/>
    <w:uiPriority w:val="99"/>
    <w:semiHidden/>
    <w:unhideWhenUsed/>
    <w:rsid w:val="00BD205C"/>
    <w:rPr>
      <w:sz w:val="18"/>
      <w:szCs w:val="18"/>
    </w:rPr>
  </w:style>
  <w:style w:type="paragraph" w:styleId="CommentText">
    <w:name w:val="annotation text"/>
    <w:basedOn w:val="Normal"/>
    <w:link w:val="CommentTextChar"/>
    <w:uiPriority w:val="99"/>
    <w:unhideWhenUsed/>
    <w:rsid w:val="00BD205C"/>
    <w:pPr>
      <w:spacing w:line="240" w:lineRule="auto"/>
    </w:pPr>
    <w:rPr>
      <w:sz w:val="24"/>
      <w:szCs w:val="24"/>
    </w:rPr>
  </w:style>
  <w:style w:type="character" w:customStyle="1" w:styleId="CommentTextChar">
    <w:name w:val="Comment Text Char"/>
    <w:basedOn w:val="DefaultParagraphFont"/>
    <w:link w:val="CommentText"/>
    <w:uiPriority w:val="99"/>
    <w:rsid w:val="00BD205C"/>
    <w:rPr>
      <w:sz w:val="24"/>
      <w:szCs w:val="24"/>
    </w:rPr>
  </w:style>
  <w:style w:type="paragraph" w:styleId="CommentSubject">
    <w:name w:val="annotation subject"/>
    <w:basedOn w:val="CommentText"/>
    <w:next w:val="CommentText"/>
    <w:link w:val="CommentSubjectChar"/>
    <w:uiPriority w:val="99"/>
    <w:semiHidden/>
    <w:unhideWhenUsed/>
    <w:rsid w:val="00BD205C"/>
    <w:rPr>
      <w:b/>
      <w:bCs/>
      <w:sz w:val="20"/>
      <w:szCs w:val="20"/>
    </w:rPr>
  </w:style>
  <w:style w:type="character" w:customStyle="1" w:styleId="CommentSubjectChar">
    <w:name w:val="Comment Subject Char"/>
    <w:basedOn w:val="CommentTextChar"/>
    <w:link w:val="CommentSubject"/>
    <w:uiPriority w:val="99"/>
    <w:semiHidden/>
    <w:rsid w:val="00BD205C"/>
    <w:rPr>
      <w:b/>
      <w:bCs/>
      <w:sz w:val="20"/>
      <w:szCs w:val="20"/>
    </w:rPr>
  </w:style>
  <w:style w:type="paragraph" w:styleId="BalloonText">
    <w:name w:val="Balloon Text"/>
    <w:basedOn w:val="Normal"/>
    <w:link w:val="BalloonTextChar"/>
    <w:uiPriority w:val="99"/>
    <w:semiHidden/>
    <w:unhideWhenUsed/>
    <w:rsid w:val="00BD20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205C"/>
    <w:rPr>
      <w:rFonts w:ascii="Times New Roman" w:hAnsi="Times New Roman"/>
      <w:sz w:val="18"/>
      <w:szCs w:val="18"/>
    </w:rPr>
  </w:style>
  <w:style w:type="paragraph" w:styleId="Revision">
    <w:name w:val="Revision"/>
    <w:hidden/>
    <w:uiPriority w:val="99"/>
    <w:semiHidden/>
    <w:rsid w:val="00930C3A"/>
    <w:pPr>
      <w:spacing w:after="0" w:line="240" w:lineRule="auto"/>
    </w:pPr>
  </w:style>
  <w:style w:type="character" w:styleId="Hyperlink">
    <w:name w:val="Hyperlink"/>
    <w:basedOn w:val="DefaultParagraphFont"/>
    <w:uiPriority w:val="99"/>
    <w:unhideWhenUsed/>
    <w:rsid w:val="005B23F4"/>
    <w:rPr>
      <w:color w:val="0000FF" w:themeColor="hyperlink"/>
      <w:u w:val="single"/>
    </w:rPr>
  </w:style>
  <w:style w:type="character" w:customStyle="1" w:styleId="UnresolvedMention1">
    <w:name w:val="Unresolved Mention1"/>
    <w:basedOn w:val="DefaultParagraphFont"/>
    <w:uiPriority w:val="99"/>
    <w:semiHidden/>
    <w:unhideWhenUsed/>
    <w:rsid w:val="005B23F4"/>
    <w:rPr>
      <w:color w:val="605E5C"/>
      <w:shd w:val="clear" w:color="auto" w:fill="E1DFDD"/>
    </w:rPr>
  </w:style>
  <w:style w:type="character" w:styleId="UnresolvedMention">
    <w:name w:val="Unresolved Mention"/>
    <w:basedOn w:val="DefaultParagraphFont"/>
    <w:uiPriority w:val="99"/>
    <w:semiHidden/>
    <w:unhideWhenUsed/>
    <w:rsid w:val="000B6C25"/>
    <w:rPr>
      <w:color w:val="605E5C"/>
      <w:shd w:val="clear" w:color="auto" w:fill="E1DFDD"/>
    </w:rPr>
  </w:style>
  <w:style w:type="paragraph" w:styleId="Header">
    <w:name w:val="header"/>
    <w:basedOn w:val="Normal"/>
    <w:link w:val="HeaderChar"/>
    <w:unhideWhenUsed/>
    <w:rsid w:val="0049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5D0"/>
  </w:style>
  <w:style w:type="character" w:customStyle="1" w:styleId="style-111">
    <w:name w:val="style-111"/>
    <w:rsid w:val="00A91675"/>
    <w:rPr>
      <w:rFonts w:ascii="Times New Roman" w:hAnsi="Times New Roman" w:cs="Times New Roman" w:hint="default"/>
      <w:sz w:val="22"/>
      <w:szCs w:val="22"/>
    </w:rPr>
  </w:style>
  <w:style w:type="character" w:customStyle="1" w:styleId="style-151">
    <w:name w:val="style-151"/>
    <w:rsid w:val="00A91675"/>
    <w:rPr>
      <w:rFonts w:ascii="Times New Roman" w:hAnsi="Times New Roman" w:cs="Times New Roman" w:hint="default"/>
      <w:i/>
      <w:iCs/>
      <w:sz w:val="22"/>
      <w:szCs w:val="22"/>
    </w:rPr>
  </w:style>
  <w:style w:type="character" w:customStyle="1" w:styleId="style-161">
    <w:name w:val="style-161"/>
    <w:rsid w:val="00A91675"/>
    <w:rPr>
      <w:rFonts w:ascii="Times New Roman" w:hAnsi="Times New Roman" w:cs="Times New Roman" w:hint="default"/>
      <w:b/>
      <w:bCs/>
      <w:sz w:val="22"/>
      <w:szCs w:val="22"/>
    </w:rPr>
  </w:style>
  <w:style w:type="character" w:customStyle="1" w:styleId="src1">
    <w:name w:val="src1"/>
    <w:rsid w:val="00020E0E"/>
    <w:rPr>
      <w:vanish w:val="0"/>
      <w:webHidden w:val="0"/>
      <w:specVanish w:val="0"/>
    </w:rPr>
  </w:style>
  <w:style w:type="character" w:styleId="FollowedHyperlink">
    <w:name w:val="FollowedHyperlink"/>
    <w:basedOn w:val="DefaultParagraphFont"/>
    <w:uiPriority w:val="99"/>
    <w:semiHidden/>
    <w:unhideWhenUsed/>
    <w:rsid w:val="001C1959"/>
    <w:rPr>
      <w:color w:val="800080" w:themeColor="followedHyperlink"/>
      <w:u w:val="single"/>
    </w:rPr>
  </w:style>
  <w:style w:type="paragraph" w:styleId="Footer">
    <w:name w:val="footer"/>
    <w:basedOn w:val="Normal"/>
    <w:link w:val="FooterChar"/>
    <w:uiPriority w:val="99"/>
    <w:unhideWhenUsed/>
    <w:rsid w:val="004C0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F1"/>
  </w:style>
  <w:style w:type="character" w:customStyle="1" w:styleId="Heading1Char">
    <w:name w:val="Heading 1 Char"/>
    <w:basedOn w:val="DefaultParagraphFont"/>
    <w:link w:val="Heading1"/>
    <w:uiPriority w:val="9"/>
    <w:rsid w:val="003153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536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mbic-cenc.org/for-tbi-researchers/epidemiology-of-military-tbi-researche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37/rep0000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mbic-cenc.org/for-service-members-and-veterans-with-tbi/the-abstract-veterans-tbi-health-and-outcomes-podcas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mbic-cenc.org/for-tbi-clinicians/polytrauma-and-tbi-clinicians/" TargetMode="External"/><Relationship Id="rId4" Type="http://schemas.openxmlformats.org/officeDocument/2006/relationships/webSettings" Target="webSettings.xml"/><Relationship Id="rId9" Type="http://schemas.openxmlformats.org/officeDocument/2006/relationships/hyperlink" Target="https://www.limbic-cenc.org/for-service-members-and-veterans-with-tb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William  C   RICVAMC</dc:creator>
  <cp:keywords/>
  <dc:description/>
  <cp:lastModifiedBy>Ronald Seel</cp:lastModifiedBy>
  <cp:revision>4</cp:revision>
  <cp:lastPrinted>2024-04-07T14:49:00Z</cp:lastPrinted>
  <dcterms:created xsi:type="dcterms:W3CDTF">2024-10-24T18:58:00Z</dcterms:created>
  <dcterms:modified xsi:type="dcterms:W3CDTF">2024-10-24T19:05:00Z</dcterms:modified>
</cp:coreProperties>
</file>