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7D5FC" w14:textId="77777777" w:rsidR="003B0891" w:rsidRDefault="003B0891" w:rsidP="003B0891">
      <w:pPr>
        <w:spacing w:after="0" w:line="240" w:lineRule="auto"/>
        <w:jc w:val="right"/>
        <w:rPr>
          <w:b/>
          <w:color w:val="003F72"/>
          <w:sz w:val="28"/>
          <w:szCs w:val="28"/>
        </w:rPr>
      </w:pPr>
      <w:r>
        <w:rPr>
          <w:rFonts w:ascii="Arial" w:hAnsi="Arial"/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1466A1" wp14:editId="0DB20841">
                <wp:simplePos x="0" y="0"/>
                <wp:positionH relativeFrom="margin">
                  <wp:posOffset>2806700</wp:posOffset>
                </wp:positionH>
                <wp:positionV relativeFrom="paragraph">
                  <wp:posOffset>-128905</wp:posOffset>
                </wp:positionV>
                <wp:extent cx="4206240" cy="914400"/>
                <wp:effectExtent l="0" t="0" r="381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E5F41A" w14:textId="77777777" w:rsidR="00965ECC" w:rsidRDefault="003B0891" w:rsidP="003B0891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</w:pPr>
                            <w:r w:rsidRPr="001D5B1C"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>LIMBIC-CENC Clinical Care Monograph Version 2</w:t>
                            </w:r>
                          </w:p>
                          <w:p w14:paraId="3784754B" w14:textId="0EF82505" w:rsidR="003B0891" w:rsidRPr="001D5B1C" w:rsidRDefault="002B2DE1" w:rsidP="003B0891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b/>
                                <w:color w:val="003F72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>E</w:t>
                            </w:r>
                            <w:r w:rsidR="003B0891" w:rsidRPr="001D5B1C"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>. TBI</w:t>
                            </w:r>
                            <w:r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>, Pain</w:t>
                            </w:r>
                            <w:r w:rsidR="00965ECC"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>,</w:t>
                            </w:r>
                            <w:r w:rsidR="003B0891" w:rsidRPr="001D5B1C"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>Opioid Therapy</w:t>
                            </w:r>
                          </w:p>
                          <w:p w14:paraId="6F9492FD" w14:textId="77777777" w:rsidR="003B0891" w:rsidRPr="001D5B1C" w:rsidRDefault="003B0891" w:rsidP="003B0891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sz w:val="24"/>
                                <w:szCs w:val="26"/>
                              </w:rPr>
                            </w:pPr>
                            <w:r w:rsidRPr="001D5B1C">
                              <w:rPr>
                                <w:sz w:val="24"/>
                                <w:szCs w:val="26"/>
                              </w:rPr>
                              <w:t>from LIMBIC-CENC Knowledge Translation Center (LIMBIC</w:t>
                            </w:r>
                            <w:r w:rsidRPr="001D5B1C">
                              <w:rPr>
                                <w:sz w:val="24"/>
                                <w:szCs w:val="26"/>
                                <w:vertAlign w:val="superscript"/>
                              </w:rPr>
                              <w:t>TM</w:t>
                            </w:r>
                            <w:r w:rsidRPr="001D5B1C">
                              <w:rPr>
                                <w:sz w:val="24"/>
                                <w:szCs w:val="26"/>
                              </w:rPr>
                              <w:t>)</w:t>
                            </w:r>
                          </w:p>
                          <w:p w14:paraId="31D7DE76" w14:textId="77777777" w:rsidR="003B0891" w:rsidRPr="001D5B1C" w:rsidRDefault="003B0891" w:rsidP="003B0891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b/>
                                <w:color w:val="003F72"/>
                                <w:sz w:val="24"/>
                                <w:szCs w:val="26"/>
                              </w:rPr>
                            </w:pPr>
                            <w:r w:rsidRPr="001D5B1C">
                              <w:rPr>
                                <w:sz w:val="24"/>
                                <w:szCs w:val="26"/>
                              </w:rPr>
                              <w:t>April 17, 2024, Richmond, 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466A1" id="Text Box 19" o:spid="_x0000_s1030" type="#_x0000_t202" style="position:absolute;left:0;text-align:left;margin-left:221pt;margin-top:-10.15pt;width:331.2pt;height:1in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" fillcolor="white [3201]" stroked="f" strokeweight=".5pt">
                <v:textbox>
                  <w:txbxContent>
                    <w:p w14:paraId="43E5F41A" w14:textId="77777777" w:rsidR="00965ECC" w:rsidRDefault="003B0891" w:rsidP="003B0891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b/>
                          <w:color w:val="003F72"/>
                          <w:sz w:val="28"/>
                          <w:szCs w:val="26"/>
                        </w:rPr>
                      </w:pPr>
                      <w:r w:rsidRPr="001D5B1C">
                        <w:rPr>
                          <w:b/>
                          <w:color w:val="003F72"/>
                          <w:sz w:val="28"/>
                          <w:szCs w:val="26"/>
                        </w:rPr>
                        <w:t>LIMBIC-CENC Clinical Care Monograph Version 2</w:t>
                      </w:r>
                    </w:p>
                    <w:p w14:paraId="3784754B" w14:textId="0EF82505" w:rsidR="003B0891" w:rsidRPr="001D5B1C" w:rsidRDefault="002B2DE1" w:rsidP="003B0891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b/>
                          <w:color w:val="003F72"/>
                          <w:sz w:val="24"/>
                          <w:szCs w:val="26"/>
                        </w:rPr>
                      </w:pPr>
                      <w:r>
                        <w:rPr>
                          <w:b/>
                          <w:color w:val="003F72"/>
                          <w:sz w:val="28"/>
                          <w:szCs w:val="26"/>
                        </w:rPr>
                        <w:t>E</w:t>
                      </w:r>
                      <w:r w:rsidR="003B0891" w:rsidRPr="001D5B1C">
                        <w:rPr>
                          <w:b/>
                          <w:color w:val="003F72"/>
                          <w:sz w:val="28"/>
                          <w:szCs w:val="26"/>
                        </w:rPr>
                        <w:t>. TBI</w:t>
                      </w:r>
                      <w:r>
                        <w:rPr>
                          <w:b/>
                          <w:color w:val="003F72"/>
                          <w:sz w:val="28"/>
                          <w:szCs w:val="26"/>
                        </w:rPr>
                        <w:t>, Pain</w:t>
                      </w:r>
                      <w:r w:rsidR="00965ECC">
                        <w:rPr>
                          <w:b/>
                          <w:color w:val="003F72"/>
                          <w:sz w:val="28"/>
                          <w:szCs w:val="26"/>
                        </w:rPr>
                        <w:t>,</w:t>
                      </w:r>
                      <w:r w:rsidR="003B0891" w:rsidRPr="001D5B1C">
                        <w:rPr>
                          <w:b/>
                          <w:color w:val="003F72"/>
                          <w:sz w:val="28"/>
                          <w:szCs w:val="26"/>
                        </w:rPr>
                        <w:t xml:space="preserve"> and </w:t>
                      </w:r>
                      <w:r>
                        <w:rPr>
                          <w:b/>
                          <w:color w:val="003F72"/>
                          <w:sz w:val="28"/>
                          <w:szCs w:val="26"/>
                        </w:rPr>
                        <w:t>Opioid Therapy</w:t>
                      </w:r>
                    </w:p>
                    <w:p w14:paraId="6F9492FD" w14:textId="77777777" w:rsidR="003B0891" w:rsidRPr="001D5B1C" w:rsidRDefault="003B0891" w:rsidP="003B0891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sz w:val="24"/>
                          <w:szCs w:val="26"/>
                        </w:rPr>
                      </w:pPr>
                      <w:r w:rsidRPr="001D5B1C">
                        <w:rPr>
                          <w:sz w:val="24"/>
                          <w:szCs w:val="26"/>
                        </w:rPr>
                        <w:t>from LIMBIC-CENC Knowledge Translation Center (LIMBIC</w:t>
                      </w:r>
                      <w:r w:rsidRPr="001D5B1C">
                        <w:rPr>
                          <w:sz w:val="24"/>
                          <w:szCs w:val="26"/>
                          <w:vertAlign w:val="superscript"/>
                        </w:rPr>
                        <w:t>TM</w:t>
                      </w:r>
                      <w:r w:rsidRPr="001D5B1C">
                        <w:rPr>
                          <w:sz w:val="24"/>
                          <w:szCs w:val="26"/>
                        </w:rPr>
                        <w:t>)</w:t>
                      </w:r>
                    </w:p>
                    <w:p w14:paraId="31D7DE76" w14:textId="77777777" w:rsidR="003B0891" w:rsidRPr="001D5B1C" w:rsidRDefault="003B0891" w:rsidP="003B0891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b/>
                          <w:color w:val="003F72"/>
                          <w:sz w:val="24"/>
                          <w:szCs w:val="26"/>
                        </w:rPr>
                      </w:pPr>
                      <w:r w:rsidRPr="001D5B1C">
                        <w:rPr>
                          <w:sz w:val="24"/>
                          <w:szCs w:val="26"/>
                        </w:rPr>
                        <w:t>April 17, 2024, Richmond, 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99D">
        <w:rPr>
          <w:rFonts w:ascii="Arial" w:hAnsi="Arial"/>
          <w:noProof/>
          <w:color w:val="244061" w:themeColor="accent1" w:themeShade="80"/>
        </w:rPr>
        <w:drawing>
          <wp:anchor distT="0" distB="0" distL="114300" distR="114300" simplePos="0" relativeHeight="251685888" behindDoc="1" locked="0" layoutInCell="1" allowOverlap="0" wp14:anchorId="01F37052" wp14:editId="7328B0EF">
            <wp:simplePos x="0" y="0"/>
            <wp:positionH relativeFrom="margin">
              <wp:align>left</wp:align>
            </wp:positionH>
            <wp:positionV relativeFrom="margin">
              <wp:posOffset>-227965</wp:posOffset>
            </wp:positionV>
            <wp:extent cx="2640067" cy="1097280"/>
            <wp:effectExtent l="0" t="0" r="0" b="0"/>
            <wp:wrapTight wrapText="right">
              <wp:wrapPolygon edited="0">
                <wp:start x="1247" y="2250"/>
                <wp:lineTo x="779" y="4125"/>
                <wp:lineTo x="624" y="16875"/>
                <wp:lineTo x="1715" y="18375"/>
                <wp:lineTo x="3118" y="19125"/>
                <wp:lineTo x="4832" y="19125"/>
                <wp:lineTo x="19173" y="18000"/>
                <wp:lineTo x="19953" y="15750"/>
                <wp:lineTo x="18394" y="15000"/>
                <wp:lineTo x="21356" y="9375"/>
                <wp:lineTo x="21356" y="4125"/>
                <wp:lineTo x="21044" y="2250"/>
                <wp:lineTo x="1247" y="2250"/>
              </wp:wrapPolygon>
            </wp:wrapTight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67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8F159" w14:textId="77777777" w:rsidR="003B0891" w:rsidRPr="00394619" w:rsidRDefault="003B0891" w:rsidP="003B0891">
      <w:pPr>
        <w:spacing w:after="0" w:line="240" w:lineRule="auto"/>
        <w:jc w:val="right"/>
        <w:rPr>
          <w:b/>
          <w:color w:val="003F72"/>
          <w:sz w:val="28"/>
          <w:szCs w:val="28"/>
        </w:rPr>
      </w:pPr>
    </w:p>
    <w:p w14:paraId="09FFC425" w14:textId="77777777" w:rsidR="003B0891" w:rsidRPr="008B6319" w:rsidRDefault="003B0891" w:rsidP="003B0891">
      <w:pPr>
        <w:spacing w:after="0" w:line="240" w:lineRule="auto"/>
        <w:jc w:val="right"/>
        <w:rPr>
          <w:sz w:val="24"/>
          <w:szCs w:val="24"/>
        </w:rPr>
      </w:pPr>
    </w:p>
    <w:p w14:paraId="3C25569C" w14:textId="77777777" w:rsidR="004F36F7" w:rsidRDefault="004F36F7" w:rsidP="002B2DE1">
      <w:pPr>
        <w:spacing w:after="120" w:line="240" w:lineRule="auto"/>
        <w:rPr>
          <w:sz w:val="24"/>
          <w:szCs w:val="24"/>
        </w:rPr>
      </w:pPr>
    </w:p>
    <w:p w14:paraId="05934C97" w14:textId="590EE346" w:rsidR="00AC757E" w:rsidRPr="00581950" w:rsidRDefault="00581950" w:rsidP="00581950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003F72"/>
        <w:spacing w:after="120" w:line="240" w:lineRule="auto"/>
        <w:rPr>
          <w:b/>
          <w:color w:val="FFFFFF" w:themeColor="background1"/>
          <w:sz w:val="28"/>
          <w:szCs w:val="24"/>
        </w:rPr>
      </w:pPr>
      <w:bookmarkStart w:id="0" w:name="_GoBack"/>
      <w:r>
        <w:rPr>
          <w:b/>
          <w:color w:val="FFFFFF" w:themeColor="background1"/>
          <w:sz w:val="28"/>
          <w:szCs w:val="24"/>
        </w:rPr>
        <w:t xml:space="preserve">E. </w:t>
      </w:r>
      <w:r w:rsidR="00AC757E" w:rsidRPr="00581950">
        <w:rPr>
          <w:b/>
          <w:color w:val="FFFFFF" w:themeColor="background1"/>
          <w:sz w:val="28"/>
          <w:szCs w:val="24"/>
        </w:rPr>
        <w:t>TBI, Pain, and Opioid Therapy</w:t>
      </w:r>
    </w:p>
    <w:bookmarkEnd w:id="0"/>
    <w:p w14:paraId="04C53D9D" w14:textId="36C5D608" w:rsidR="00EA2620" w:rsidRPr="00A30748" w:rsidRDefault="00AC757E" w:rsidP="002B2DE1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before="120" w:after="120" w:line="240" w:lineRule="auto"/>
        <w:rPr>
          <w:b/>
          <w:color w:val="1F497D" w:themeColor="text2"/>
          <w:sz w:val="28"/>
          <w:szCs w:val="24"/>
        </w:rPr>
      </w:pPr>
      <w:r w:rsidRPr="00A30748">
        <w:rPr>
          <w:b/>
          <w:color w:val="1F497D" w:themeColor="text2"/>
          <w:sz w:val="28"/>
          <w:szCs w:val="24"/>
        </w:rPr>
        <w:t>Key Finding</w:t>
      </w:r>
      <w:r w:rsidR="00EA2620" w:rsidRPr="00A30748">
        <w:rPr>
          <w:b/>
          <w:color w:val="1F497D" w:themeColor="text2"/>
          <w:sz w:val="28"/>
          <w:szCs w:val="24"/>
        </w:rPr>
        <w:t>s</w:t>
      </w:r>
    </w:p>
    <w:p w14:paraId="55AAA90F" w14:textId="4832A37B" w:rsidR="00E4162B" w:rsidRPr="00E263D7" w:rsidRDefault="00EE1CAF" w:rsidP="002B2DE1">
      <w:pPr>
        <w:pStyle w:val="ListParagraph"/>
        <w:numPr>
          <w:ilvl w:val="0"/>
          <w:numId w:val="12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E263D7">
        <w:rPr>
          <w:rFonts w:cstheme="minorHAnsi"/>
          <w:b/>
          <w:sz w:val="24"/>
          <w:szCs w:val="24"/>
        </w:rPr>
        <w:t>TBI, Pain and Deployment</w:t>
      </w:r>
      <w:r w:rsidRPr="00E263D7">
        <w:rPr>
          <w:rFonts w:cstheme="minorHAnsi"/>
          <w:sz w:val="24"/>
          <w:szCs w:val="24"/>
        </w:rPr>
        <w:t xml:space="preserve">. </w:t>
      </w:r>
      <w:r w:rsidR="00A44E9B" w:rsidRPr="00E263D7">
        <w:rPr>
          <w:rFonts w:cstheme="minorHAnsi"/>
          <w:sz w:val="24"/>
          <w:szCs w:val="24"/>
        </w:rPr>
        <w:t>LIMBIC-CENC researchers have identified that d</w:t>
      </w:r>
      <w:r w:rsidR="00E4162B" w:rsidRPr="00E263D7">
        <w:rPr>
          <w:rFonts w:cstheme="minorHAnsi"/>
          <w:sz w:val="24"/>
          <w:szCs w:val="24"/>
        </w:rPr>
        <w:t xml:space="preserve">eployed </w:t>
      </w:r>
      <w:r w:rsidR="00A44E9B" w:rsidRPr="00E263D7">
        <w:rPr>
          <w:rFonts w:cstheme="minorHAnsi"/>
          <w:sz w:val="24"/>
          <w:szCs w:val="24"/>
        </w:rPr>
        <w:t>Service Members</w:t>
      </w:r>
      <w:r w:rsidRPr="00E263D7">
        <w:rPr>
          <w:rFonts w:cstheme="minorHAnsi"/>
          <w:sz w:val="24"/>
          <w:szCs w:val="24"/>
        </w:rPr>
        <w:t xml:space="preserve"> </w:t>
      </w:r>
      <w:r w:rsidR="00E4162B" w:rsidRPr="00E263D7">
        <w:rPr>
          <w:rFonts w:cstheme="minorHAnsi"/>
          <w:sz w:val="24"/>
          <w:szCs w:val="24"/>
        </w:rPr>
        <w:t>were more likely to have diagnoses of back</w:t>
      </w:r>
      <w:r w:rsidR="00F932F3" w:rsidRPr="00E263D7">
        <w:rPr>
          <w:rFonts w:cstheme="minorHAnsi"/>
          <w:sz w:val="24"/>
          <w:szCs w:val="24"/>
        </w:rPr>
        <w:t xml:space="preserve"> </w:t>
      </w:r>
      <w:r w:rsidR="00E4162B" w:rsidRPr="00E263D7">
        <w:rPr>
          <w:rFonts w:cstheme="minorHAnsi"/>
          <w:sz w:val="24"/>
          <w:szCs w:val="24"/>
        </w:rPr>
        <w:t>pain and headache, while non-deployed personnel were</w:t>
      </w:r>
      <w:r w:rsidR="00AD03FE" w:rsidRPr="00E263D7">
        <w:rPr>
          <w:rFonts w:cstheme="minorHAnsi"/>
          <w:sz w:val="24"/>
          <w:szCs w:val="24"/>
        </w:rPr>
        <w:t xml:space="preserve"> </w:t>
      </w:r>
      <w:r w:rsidR="00E4162B" w:rsidRPr="00E263D7">
        <w:rPr>
          <w:rFonts w:cstheme="minorHAnsi"/>
          <w:sz w:val="24"/>
          <w:szCs w:val="24"/>
        </w:rPr>
        <w:t>more likely to have diagnoses of other musculoskeletal pain</w:t>
      </w:r>
      <w:r w:rsidR="002A6556" w:rsidRPr="00E263D7">
        <w:rPr>
          <w:rFonts w:cstheme="minorHAnsi"/>
          <w:sz w:val="24"/>
          <w:szCs w:val="24"/>
        </w:rPr>
        <w:t>.</w:t>
      </w:r>
      <w:r w:rsidR="00D37456" w:rsidRPr="00E263D7">
        <w:rPr>
          <w:rFonts w:cstheme="minorHAnsi"/>
          <w:sz w:val="24"/>
          <w:szCs w:val="24"/>
          <w:vertAlign w:val="superscript"/>
        </w:rPr>
        <w:t>1</w:t>
      </w:r>
      <w:r w:rsidR="00962F7C" w:rsidRPr="00E263D7">
        <w:rPr>
          <w:rFonts w:cstheme="minorHAnsi"/>
          <w:sz w:val="24"/>
          <w:szCs w:val="24"/>
          <w:vertAlign w:val="superscript"/>
        </w:rPr>
        <w:t xml:space="preserve"> </w:t>
      </w:r>
      <w:r w:rsidR="00962F7C" w:rsidRPr="00E263D7">
        <w:rPr>
          <w:rFonts w:cstheme="minorHAnsi"/>
          <w:color w:val="212121"/>
          <w:sz w:val="24"/>
          <w:szCs w:val="24"/>
          <w:shd w:val="clear" w:color="auto" w:fill="FFFFFF"/>
        </w:rPr>
        <w:t>The most common types of pain among Service Members and Veterans with mTBI were headaches</w:t>
      </w:r>
      <w:r w:rsidR="00F932F3" w:rsidRPr="00E263D7">
        <w:rPr>
          <w:rFonts w:cstheme="minorHAnsi"/>
          <w:color w:val="212121"/>
          <w:sz w:val="24"/>
          <w:szCs w:val="24"/>
          <w:shd w:val="clear" w:color="auto" w:fill="FFFFFF"/>
        </w:rPr>
        <w:t>/</w:t>
      </w:r>
      <w:r w:rsidR="00962F7C" w:rsidRPr="00E263D7">
        <w:rPr>
          <w:rFonts w:cstheme="minorHAnsi"/>
          <w:color w:val="212121"/>
          <w:sz w:val="24"/>
          <w:szCs w:val="24"/>
          <w:shd w:val="clear" w:color="auto" w:fill="FFFFFF"/>
        </w:rPr>
        <w:t>migraines, back pain, and arm, leg, and/or joint pain.</w:t>
      </w:r>
      <w:r w:rsidR="00962F7C" w:rsidRPr="00E263D7">
        <w:rPr>
          <w:rFonts w:cstheme="minorHAnsi"/>
          <w:color w:val="212121"/>
          <w:sz w:val="24"/>
          <w:szCs w:val="24"/>
          <w:shd w:val="clear" w:color="auto" w:fill="FFFFFF"/>
          <w:vertAlign w:val="superscript"/>
        </w:rPr>
        <w:t>2</w:t>
      </w:r>
      <w:r w:rsidR="008F3B99" w:rsidRPr="00E263D7">
        <w:rPr>
          <w:rFonts w:cstheme="minorHAnsi"/>
          <w:color w:val="212121"/>
          <w:sz w:val="24"/>
          <w:szCs w:val="24"/>
          <w:shd w:val="clear" w:color="auto" w:fill="FFFFFF"/>
          <w:vertAlign w:val="superscript"/>
        </w:rPr>
        <w:t xml:space="preserve"> </w:t>
      </w:r>
      <w:r w:rsidR="00AB0590" w:rsidRPr="00E263D7">
        <w:rPr>
          <w:rFonts w:cstheme="minorHAnsi"/>
          <w:color w:val="212121"/>
          <w:sz w:val="24"/>
          <w:szCs w:val="24"/>
          <w:shd w:val="clear" w:color="auto" w:fill="FFFFFF"/>
        </w:rPr>
        <w:t>Headache risk increases with more lifetime mTBIs and reaches 78% prevalence with 3 or more mTBIs.</w:t>
      </w:r>
      <w:r w:rsidR="00AB0590" w:rsidRPr="00E263D7">
        <w:rPr>
          <w:rFonts w:cstheme="minorHAnsi"/>
          <w:color w:val="212121"/>
          <w:sz w:val="24"/>
          <w:szCs w:val="24"/>
          <w:shd w:val="clear" w:color="auto" w:fill="FFFFFF"/>
          <w:vertAlign w:val="superscript"/>
        </w:rPr>
        <w:t>3</w:t>
      </w:r>
    </w:p>
    <w:p w14:paraId="4E24BCD2" w14:textId="4B1E1D49" w:rsidR="0079155A" w:rsidRPr="00E263D7" w:rsidRDefault="00C91A36" w:rsidP="002B2DE1">
      <w:pPr>
        <w:pStyle w:val="ListParagraph"/>
        <w:numPr>
          <w:ilvl w:val="0"/>
          <w:numId w:val="12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E263D7">
        <w:rPr>
          <w:rFonts w:cstheme="minorHAnsi"/>
          <w:b/>
          <w:sz w:val="24"/>
          <w:szCs w:val="24"/>
        </w:rPr>
        <w:t xml:space="preserve">TBI, Pain and Mediating </w:t>
      </w:r>
      <w:r w:rsidR="00354844" w:rsidRPr="00E263D7">
        <w:rPr>
          <w:rFonts w:cstheme="minorHAnsi"/>
          <w:b/>
          <w:sz w:val="24"/>
          <w:szCs w:val="24"/>
        </w:rPr>
        <w:t xml:space="preserve">Health </w:t>
      </w:r>
      <w:r w:rsidRPr="00E263D7">
        <w:rPr>
          <w:rFonts w:cstheme="minorHAnsi"/>
          <w:b/>
          <w:sz w:val="24"/>
          <w:szCs w:val="24"/>
        </w:rPr>
        <w:t>Conditions</w:t>
      </w:r>
      <w:r w:rsidRPr="00E263D7">
        <w:rPr>
          <w:rFonts w:cstheme="minorHAnsi"/>
          <w:sz w:val="24"/>
          <w:szCs w:val="24"/>
        </w:rPr>
        <w:t xml:space="preserve">. </w:t>
      </w:r>
      <w:r w:rsidR="00A44E9B" w:rsidRPr="00E263D7">
        <w:rPr>
          <w:rFonts w:cstheme="minorHAnsi"/>
          <w:sz w:val="24"/>
          <w:szCs w:val="24"/>
        </w:rPr>
        <w:t xml:space="preserve">LIMBIC-CENC researchers have identified </w:t>
      </w:r>
      <w:r w:rsidR="002A6556" w:rsidRPr="00E263D7">
        <w:rPr>
          <w:rFonts w:cstheme="minorHAnsi"/>
          <w:sz w:val="24"/>
          <w:szCs w:val="24"/>
        </w:rPr>
        <w:t xml:space="preserve">little </w:t>
      </w:r>
      <w:r w:rsidR="00354844" w:rsidRPr="00E263D7">
        <w:rPr>
          <w:rFonts w:cstheme="minorHAnsi"/>
          <w:sz w:val="24"/>
          <w:szCs w:val="24"/>
        </w:rPr>
        <w:t xml:space="preserve">evidence that </w:t>
      </w:r>
      <w:r w:rsidR="00AF38EA" w:rsidRPr="00E263D7">
        <w:rPr>
          <w:rFonts w:cstheme="minorHAnsi"/>
          <w:sz w:val="24"/>
          <w:szCs w:val="24"/>
        </w:rPr>
        <w:t xml:space="preserve">Service Members’ and Veterans’ </w:t>
      </w:r>
      <w:r w:rsidR="002A6556" w:rsidRPr="00E263D7">
        <w:rPr>
          <w:rFonts w:cstheme="minorHAnsi"/>
          <w:sz w:val="24"/>
          <w:szCs w:val="24"/>
        </w:rPr>
        <w:t>m</w:t>
      </w:r>
      <w:r w:rsidR="00354844" w:rsidRPr="00E263D7">
        <w:rPr>
          <w:rFonts w:cstheme="minorHAnsi"/>
          <w:sz w:val="24"/>
          <w:szCs w:val="24"/>
        </w:rPr>
        <w:t xml:space="preserve">TBI history </w:t>
      </w:r>
      <w:r w:rsidR="0079155A" w:rsidRPr="00E263D7">
        <w:rPr>
          <w:rFonts w:cstheme="minorHAnsi"/>
          <w:sz w:val="24"/>
          <w:szCs w:val="24"/>
        </w:rPr>
        <w:t xml:space="preserve">is </w:t>
      </w:r>
      <w:r w:rsidR="00354844" w:rsidRPr="00E263D7">
        <w:rPr>
          <w:rFonts w:cstheme="minorHAnsi"/>
          <w:sz w:val="24"/>
          <w:szCs w:val="24"/>
        </w:rPr>
        <w:t xml:space="preserve">directly related to </w:t>
      </w:r>
      <w:r w:rsidR="00AF38EA" w:rsidRPr="00E263D7">
        <w:rPr>
          <w:rFonts w:cstheme="minorHAnsi"/>
          <w:sz w:val="24"/>
          <w:szCs w:val="24"/>
        </w:rPr>
        <w:t xml:space="preserve">their </w:t>
      </w:r>
      <w:r w:rsidR="00354844" w:rsidRPr="00E263D7">
        <w:rPr>
          <w:rFonts w:cstheme="minorHAnsi"/>
          <w:sz w:val="24"/>
          <w:szCs w:val="24"/>
        </w:rPr>
        <w:t>chronic pain</w:t>
      </w:r>
      <w:r w:rsidR="002A6556" w:rsidRPr="00E263D7">
        <w:rPr>
          <w:rFonts w:cstheme="minorHAnsi"/>
          <w:sz w:val="24"/>
          <w:szCs w:val="24"/>
        </w:rPr>
        <w:t xml:space="preserve">; rather, PTSD, anxiety, depression, insomnia, arthritis, and extracranial injuries </w:t>
      </w:r>
      <w:r w:rsidR="0079155A" w:rsidRPr="00E263D7">
        <w:rPr>
          <w:rFonts w:cstheme="minorHAnsi"/>
          <w:sz w:val="24"/>
          <w:szCs w:val="24"/>
        </w:rPr>
        <w:t xml:space="preserve">are more </w:t>
      </w:r>
      <w:r w:rsidR="00354844" w:rsidRPr="00E263D7">
        <w:rPr>
          <w:rFonts w:cstheme="minorHAnsi"/>
          <w:sz w:val="24"/>
          <w:szCs w:val="24"/>
        </w:rPr>
        <w:t>directly related to chronic pain.</w:t>
      </w:r>
      <w:r w:rsidR="00D37456" w:rsidRPr="00E263D7">
        <w:rPr>
          <w:rFonts w:cstheme="minorHAnsi"/>
          <w:sz w:val="24"/>
          <w:szCs w:val="24"/>
          <w:vertAlign w:val="superscript"/>
        </w:rPr>
        <w:t>2</w:t>
      </w:r>
      <w:r w:rsidR="00354844" w:rsidRPr="00E263D7">
        <w:rPr>
          <w:rFonts w:cstheme="minorHAnsi"/>
          <w:sz w:val="24"/>
          <w:szCs w:val="24"/>
        </w:rPr>
        <w:t xml:space="preserve"> </w:t>
      </w:r>
      <w:r w:rsidR="00A44E9B" w:rsidRPr="00E263D7">
        <w:rPr>
          <w:rFonts w:cstheme="minorHAnsi"/>
          <w:sz w:val="24"/>
          <w:szCs w:val="24"/>
        </w:rPr>
        <w:t xml:space="preserve">Given the linkage between TBI and development and response to mental health conditions however, TBI must still be considered. </w:t>
      </w:r>
      <w:r w:rsidR="00A12125" w:rsidRPr="00E263D7">
        <w:rPr>
          <w:rFonts w:cstheme="minorHAnsi"/>
          <w:sz w:val="24"/>
          <w:szCs w:val="24"/>
        </w:rPr>
        <w:t>Veterans</w:t>
      </w:r>
      <w:r w:rsidR="00E250AC" w:rsidRPr="00E263D7">
        <w:rPr>
          <w:rFonts w:cstheme="minorHAnsi"/>
          <w:sz w:val="24"/>
          <w:szCs w:val="24"/>
        </w:rPr>
        <w:t>’</w:t>
      </w:r>
      <w:r w:rsidR="00A12125" w:rsidRPr="00E263D7">
        <w:rPr>
          <w:rFonts w:cstheme="minorHAnsi"/>
          <w:sz w:val="24"/>
          <w:szCs w:val="24"/>
        </w:rPr>
        <w:t xml:space="preserve"> </w:t>
      </w:r>
      <w:r w:rsidR="00A44E9B" w:rsidRPr="00E263D7">
        <w:rPr>
          <w:rFonts w:cstheme="minorHAnsi"/>
          <w:sz w:val="24"/>
          <w:szCs w:val="24"/>
        </w:rPr>
        <w:t>neuroimaging</w:t>
      </w:r>
      <w:r w:rsidR="00A12125" w:rsidRPr="00E263D7">
        <w:rPr>
          <w:rFonts w:cstheme="minorHAnsi"/>
          <w:sz w:val="24"/>
          <w:szCs w:val="24"/>
        </w:rPr>
        <w:t xml:space="preserve"> data indicate that chronic pain is associated with decreased functional connectivity in select brain networks that mediate pain. Veterans PTSD symptom severity, history of deployment TBI, and sleep quality predict</w:t>
      </w:r>
      <w:r w:rsidR="008F2CB3" w:rsidRPr="00E263D7">
        <w:rPr>
          <w:rFonts w:cstheme="minorHAnsi"/>
          <w:sz w:val="24"/>
          <w:szCs w:val="24"/>
        </w:rPr>
        <w:t>ed</w:t>
      </w:r>
      <w:r w:rsidR="00A12125" w:rsidRPr="00E263D7">
        <w:rPr>
          <w:rFonts w:cstheme="minorHAnsi"/>
          <w:sz w:val="24"/>
          <w:szCs w:val="24"/>
        </w:rPr>
        <w:t xml:space="preserve"> pain-related</w:t>
      </w:r>
      <w:r w:rsidR="00A44E9B" w:rsidRPr="00E263D7">
        <w:rPr>
          <w:rFonts w:cstheme="minorHAnsi"/>
          <w:sz w:val="24"/>
          <w:szCs w:val="24"/>
        </w:rPr>
        <w:t xml:space="preserve"> </w:t>
      </w:r>
      <w:r w:rsidR="00A12125" w:rsidRPr="00E263D7">
        <w:rPr>
          <w:rFonts w:cstheme="minorHAnsi"/>
          <w:sz w:val="24"/>
          <w:szCs w:val="24"/>
        </w:rPr>
        <w:t>interference</w:t>
      </w:r>
      <w:r w:rsidR="00A44E9B" w:rsidRPr="00E263D7">
        <w:rPr>
          <w:rFonts w:cstheme="minorHAnsi"/>
          <w:sz w:val="24"/>
          <w:szCs w:val="24"/>
        </w:rPr>
        <w:t xml:space="preserve"> with day-to-day functional activities</w:t>
      </w:r>
      <w:r w:rsidR="00A12125" w:rsidRPr="00E263D7">
        <w:rPr>
          <w:rFonts w:cstheme="minorHAnsi"/>
          <w:sz w:val="24"/>
          <w:szCs w:val="24"/>
        </w:rPr>
        <w:t>.</w:t>
      </w:r>
      <w:r w:rsidR="00626D42" w:rsidRPr="00E263D7">
        <w:rPr>
          <w:rFonts w:cstheme="minorHAnsi"/>
          <w:sz w:val="24"/>
          <w:szCs w:val="24"/>
          <w:vertAlign w:val="superscript"/>
        </w:rPr>
        <w:t>4</w:t>
      </w:r>
      <w:r w:rsidR="008F2CB3" w:rsidRPr="00E263D7">
        <w:rPr>
          <w:rFonts w:cstheme="minorHAnsi"/>
          <w:sz w:val="24"/>
          <w:szCs w:val="24"/>
        </w:rPr>
        <w:t xml:space="preserve"> </w:t>
      </w:r>
      <w:r w:rsidR="002A6556" w:rsidRPr="00E263D7">
        <w:rPr>
          <w:rFonts w:cstheme="minorHAnsi"/>
          <w:sz w:val="24"/>
          <w:szCs w:val="24"/>
        </w:rPr>
        <w:t xml:space="preserve">TBI, PTSD and depression diagnoses were associated with </w:t>
      </w:r>
      <w:r w:rsidR="00A12125" w:rsidRPr="00E263D7">
        <w:rPr>
          <w:rFonts w:cstheme="minorHAnsi"/>
          <w:sz w:val="24"/>
          <w:szCs w:val="24"/>
        </w:rPr>
        <w:t xml:space="preserve">Veteran </w:t>
      </w:r>
      <w:r w:rsidR="002A6556" w:rsidRPr="00E263D7">
        <w:rPr>
          <w:rFonts w:cstheme="minorHAnsi"/>
          <w:sz w:val="24"/>
          <w:szCs w:val="24"/>
        </w:rPr>
        <w:t>c</w:t>
      </w:r>
      <w:r w:rsidR="00AC757E" w:rsidRPr="00E263D7">
        <w:rPr>
          <w:rFonts w:cstheme="minorHAnsi"/>
          <w:sz w:val="24"/>
          <w:szCs w:val="24"/>
        </w:rPr>
        <w:t>hronic pain disability</w:t>
      </w:r>
      <w:r w:rsidR="00A12125" w:rsidRPr="00E263D7">
        <w:rPr>
          <w:rFonts w:cstheme="minorHAnsi"/>
          <w:sz w:val="24"/>
          <w:szCs w:val="24"/>
        </w:rPr>
        <w:t xml:space="preserve"> ratings</w:t>
      </w:r>
      <w:r w:rsidR="00AC757E" w:rsidRPr="00E263D7">
        <w:rPr>
          <w:rFonts w:cstheme="minorHAnsi"/>
          <w:sz w:val="24"/>
          <w:szCs w:val="24"/>
        </w:rPr>
        <w:t>.</w:t>
      </w:r>
      <w:r w:rsidR="00626D42" w:rsidRPr="00E263D7">
        <w:rPr>
          <w:rFonts w:cstheme="minorHAnsi"/>
          <w:sz w:val="24"/>
          <w:szCs w:val="24"/>
          <w:vertAlign w:val="superscript"/>
        </w:rPr>
        <w:t>5</w:t>
      </w:r>
    </w:p>
    <w:p w14:paraId="6DC28576" w14:textId="0D212D1C" w:rsidR="00354844" w:rsidRPr="00E263D7" w:rsidRDefault="0079155A" w:rsidP="002B2DE1">
      <w:pPr>
        <w:pStyle w:val="ListParagraph"/>
        <w:numPr>
          <w:ilvl w:val="0"/>
          <w:numId w:val="12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E263D7">
        <w:rPr>
          <w:rFonts w:cstheme="minorHAnsi"/>
          <w:b/>
          <w:sz w:val="24"/>
          <w:szCs w:val="24"/>
        </w:rPr>
        <w:t>MTBI and Pain Phenotypes</w:t>
      </w:r>
      <w:r w:rsidRPr="00E263D7">
        <w:rPr>
          <w:rFonts w:cstheme="minorHAnsi"/>
          <w:sz w:val="24"/>
          <w:szCs w:val="24"/>
        </w:rPr>
        <w:t>. Service Members’ and Veterans’ with a mTBI history who are Female sex, Black racial identity, Hispanic/Latino ethnicity, and younger age may have a higher risk of headache.</w:t>
      </w:r>
      <w:r w:rsidRPr="00E263D7">
        <w:rPr>
          <w:rFonts w:cstheme="minorHAnsi"/>
          <w:color w:val="212121"/>
          <w:sz w:val="24"/>
          <w:szCs w:val="24"/>
          <w:shd w:val="clear" w:color="auto" w:fill="FFFFFF"/>
          <w:vertAlign w:val="superscript"/>
        </w:rPr>
        <w:t>3</w:t>
      </w:r>
      <w:r w:rsidRPr="00E263D7">
        <w:rPr>
          <w:rFonts w:cstheme="minorHAnsi"/>
          <w:sz w:val="24"/>
          <w:szCs w:val="24"/>
        </w:rPr>
        <w:t xml:space="preserve"> </w:t>
      </w:r>
      <w:r w:rsidR="00C20252" w:rsidRPr="00E263D7">
        <w:rPr>
          <w:rFonts w:cstheme="minorHAnsi"/>
          <w:sz w:val="24"/>
          <w:szCs w:val="24"/>
        </w:rPr>
        <w:t>Baseline pain scores were generally higher in Veterans with mild TBI and f</w:t>
      </w:r>
      <w:r w:rsidR="00A459C3" w:rsidRPr="00E263D7">
        <w:rPr>
          <w:rFonts w:cstheme="minorHAnsi"/>
          <w:sz w:val="24"/>
          <w:szCs w:val="24"/>
        </w:rPr>
        <w:t xml:space="preserve">ive </w:t>
      </w:r>
      <w:r w:rsidR="00BC7C51" w:rsidRPr="00E263D7">
        <w:rPr>
          <w:rFonts w:cstheme="minorHAnsi"/>
          <w:sz w:val="24"/>
          <w:szCs w:val="24"/>
        </w:rPr>
        <w:t xml:space="preserve">preliminary </w:t>
      </w:r>
      <w:r w:rsidR="00A459C3" w:rsidRPr="00E263D7">
        <w:rPr>
          <w:rFonts w:cstheme="minorHAnsi"/>
          <w:sz w:val="24"/>
          <w:szCs w:val="24"/>
        </w:rPr>
        <w:t>pain phenotypes were identified: (a) simple low impact stable pain, (b) complex low impact stable pain,</w:t>
      </w:r>
      <w:r w:rsidR="00BC7C51" w:rsidRPr="00E263D7">
        <w:rPr>
          <w:rFonts w:cstheme="minorHAnsi"/>
          <w:sz w:val="24"/>
          <w:szCs w:val="24"/>
        </w:rPr>
        <w:t xml:space="preserve"> </w:t>
      </w:r>
      <w:r w:rsidR="00A459C3" w:rsidRPr="00E263D7">
        <w:rPr>
          <w:rFonts w:cstheme="minorHAnsi"/>
          <w:sz w:val="24"/>
          <w:szCs w:val="24"/>
        </w:rPr>
        <w:t>(c) complex low impact worsening pain, (d) complex moderate impact worsening pain, and (e) complex high impact stable pain.</w:t>
      </w:r>
      <w:r w:rsidR="006B6358" w:rsidRPr="00E263D7">
        <w:rPr>
          <w:rFonts w:cstheme="minorHAnsi"/>
          <w:sz w:val="24"/>
          <w:szCs w:val="24"/>
          <w:vertAlign w:val="superscript"/>
        </w:rPr>
        <w:t>5</w:t>
      </w:r>
    </w:p>
    <w:p w14:paraId="7EEDF19A" w14:textId="3C8C0B2A" w:rsidR="00AC757E" w:rsidRPr="00E263D7" w:rsidRDefault="00354844" w:rsidP="002B2DE1">
      <w:pPr>
        <w:pStyle w:val="ListParagraph"/>
        <w:numPr>
          <w:ilvl w:val="0"/>
          <w:numId w:val="12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E263D7">
        <w:rPr>
          <w:rFonts w:cstheme="minorHAnsi"/>
          <w:b/>
          <w:sz w:val="24"/>
          <w:szCs w:val="24"/>
        </w:rPr>
        <w:t>TBI, Pain and Opioid Treatment</w:t>
      </w:r>
      <w:r w:rsidRPr="00E263D7">
        <w:rPr>
          <w:rFonts w:cstheme="minorHAnsi"/>
          <w:sz w:val="24"/>
          <w:szCs w:val="24"/>
        </w:rPr>
        <w:t xml:space="preserve">. </w:t>
      </w:r>
      <w:r w:rsidR="00AC757E" w:rsidRPr="00E263D7">
        <w:rPr>
          <w:rFonts w:cstheme="minorHAnsi"/>
          <w:sz w:val="24"/>
          <w:szCs w:val="24"/>
        </w:rPr>
        <w:t>Opioid prescribing patterns for pain management did not appear to differ for Veterans with or without TBI.</w:t>
      </w:r>
      <w:r w:rsidR="00626D42" w:rsidRPr="00E263D7">
        <w:rPr>
          <w:rFonts w:cstheme="minorHAnsi"/>
          <w:sz w:val="24"/>
          <w:szCs w:val="24"/>
          <w:vertAlign w:val="superscript"/>
        </w:rPr>
        <w:t>7</w:t>
      </w:r>
      <w:r w:rsidR="00FE5176" w:rsidRPr="00E263D7">
        <w:rPr>
          <w:rFonts w:cstheme="minorHAnsi"/>
          <w:sz w:val="24"/>
          <w:szCs w:val="24"/>
          <w:vertAlign w:val="superscript"/>
        </w:rPr>
        <w:t xml:space="preserve">, </w:t>
      </w:r>
      <w:r w:rsidR="00626D42" w:rsidRPr="00E263D7">
        <w:rPr>
          <w:rFonts w:cstheme="minorHAnsi"/>
          <w:sz w:val="24"/>
          <w:szCs w:val="24"/>
          <w:vertAlign w:val="superscript"/>
        </w:rPr>
        <w:t>8</w:t>
      </w:r>
      <w:r w:rsidR="00AC757E" w:rsidRPr="00E263D7">
        <w:rPr>
          <w:rFonts w:cstheme="minorHAnsi"/>
          <w:sz w:val="24"/>
          <w:szCs w:val="24"/>
        </w:rPr>
        <w:t xml:space="preserve"> </w:t>
      </w:r>
      <w:r w:rsidRPr="00E263D7">
        <w:rPr>
          <w:rFonts w:cstheme="minorHAnsi"/>
          <w:sz w:val="24"/>
          <w:szCs w:val="24"/>
        </w:rPr>
        <w:t xml:space="preserve">About 80% of </w:t>
      </w:r>
      <w:r w:rsidR="00C20252" w:rsidRPr="00E263D7">
        <w:rPr>
          <w:rFonts w:cstheme="minorHAnsi"/>
          <w:sz w:val="24"/>
          <w:szCs w:val="24"/>
        </w:rPr>
        <w:t>Service Members and Veterans</w:t>
      </w:r>
      <w:r w:rsidRPr="00E263D7">
        <w:rPr>
          <w:rFonts w:cstheme="minorHAnsi"/>
          <w:sz w:val="24"/>
          <w:szCs w:val="24"/>
        </w:rPr>
        <w:t xml:space="preserve"> with pain </w:t>
      </w:r>
      <w:r w:rsidR="00C20252" w:rsidRPr="00E263D7">
        <w:rPr>
          <w:rFonts w:cstheme="minorHAnsi"/>
          <w:sz w:val="24"/>
          <w:szCs w:val="24"/>
        </w:rPr>
        <w:t xml:space="preserve">initially </w:t>
      </w:r>
      <w:r w:rsidRPr="00E263D7">
        <w:rPr>
          <w:rFonts w:cstheme="minorHAnsi"/>
          <w:sz w:val="24"/>
          <w:szCs w:val="24"/>
        </w:rPr>
        <w:t>received at least one non-opioid therapy.</w:t>
      </w:r>
      <w:r w:rsidR="00626D42" w:rsidRPr="00E263D7">
        <w:rPr>
          <w:rFonts w:cstheme="minorHAnsi"/>
          <w:sz w:val="24"/>
          <w:szCs w:val="24"/>
          <w:vertAlign w:val="superscript"/>
        </w:rPr>
        <w:t>7</w:t>
      </w:r>
      <w:r w:rsidRPr="00E263D7">
        <w:rPr>
          <w:rFonts w:cstheme="minorHAnsi"/>
          <w:sz w:val="24"/>
          <w:szCs w:val="24"/>
        </w:rPr>
        <w:t xml:space="preserve"> </w:t>
      </w:r>
      <w:r w:rsidR="00AC757E" w:rsidRPr="00E263D7">
        <w:rPr>
          <w:rFonts w:cstheme="minorHAnsi"/>
          <w:sz w:val="24"/>
          <w:szCs w:val="24"/>
        </w:rPr>
        <w:t xml:space="preserve">About 20% </w:t>
      </w:r>
      <w:r w:rsidRPr="00E263D7">
        <w:rPr>
          <w:rFonts w:cstheme="minorHAnsi"/>
          <w:sz w:val="24"/>
          <w:szCs w:val="24"/>
        </w:rPr>
        <w:t xml:space="preserve">of </w:t>
      </w:r>
      <w:r w:rsidR="00C20252" w:rsidRPr="00E263D7">
        <w:rPr>
          <w:rFonts w:cstheme="minorHAnsi"/>
          <w:sz w:val="24"/>
          <w:szCs w:val="24"/>
        </w:rPr>
        <w:t xml:space="preserve">Service Members and Veterans </w:t>
      </w:r>
      <w:r w:rsidR="00AC757E" w:rsidRPr="00E263D7">
        <w:rPr>
          <w:rFonts w:cstheme="minorHAnsi"/>
          <w:sz w:val="24"/>
          <w:szCs w:val="24"/>
        </w:rPr>
        <w:t xml:space="preserve">with TBI and pain received short-term opioid therapy, while </w:t>
      </w:r>
      <w:r w:rsidRPr="00E263D7">
        <w:rPr>
          <w:rFonts w:cstheme="minorHAnsi"/>
          <w:sz w:val="24"/>
          <w:szCs w:val="24"/>
        </w:rPr>
        <w:t xml:space="preserve">only </w:t>
      </w:r>
      <w:r w:rsidR="00AC757E" w:rsidRPr="00E263D7">
        <w:rPr>
          <w:rFonts w:cstheme="minorHAnsi"/>
          <w:sz w:val="24"/>
          <w:szCs w:val="24"/>
        </w:rPr>
        <w:t>3% received long-term opioid therapy.</w:t>
      </w:r>
      <w:r w:rsidR="00626D42" w:rsidRPr="00E263D7">
        <w:rPr>
          <w:rFonts w:cstheme="minorHAnsi"/>
          <w:sz w:val="24"/>
          <w:szCs w:val="24"/>
          <w:vertAlign w:val="superscript"/>
        </w:rPr>
        <w:t>7</w:t>
      </w:r>
      <w:r w:rsidR="00AC757E" w:rsidRPr="00E263D7">
        <w:rPr>
          <w:rFonts w:cstheme="minorHAnsi"/>
          <w:sz w:val="24"/>
          <w:szCs w:val="24"/>
        </w:rPr>
        <w:t xml:space="preserve"> About 90% of Veterans with TBI treated with long-term opioid therapy had moderate to extreme levels of pain, PTSD symptoms, sleep disturbance</w:t>
      </w:r>
      <w:r w:rsidR="007B6305" w:rsidRPr="00E263D7">
        <w:rPr>
          <w:rFonts w:cstheme="minorHAnsi"/>
          <w:sz w:val="24"/>
          <w:szCs w:val="24"/>
        </w:rPr>
        <w:t>, and suicidal ideation</w:t>
      </w:r>
      <w:r w:rsidRPr="00E263D7">
        <w:rPr>
          <w:rFonts w:cstheme="minorHAnsi"/>
          <w:sz w:val="24"/>
          <w:szCs w:val="24"/>
        </w:rPr>
        <w:t>.</w:t>
      </w:r>
      <w:r w:rsidR="00626D42" w:rsidRPr="00E263D7">
        <w:rPr>
          <w:rFonts w:cstheme="minorHAnsi"/>
          <w:sz w:val="24"/>
          <w:szCs w:val="24"/>
          <w:vertAlign w:val="superscript"/>
        </w:rPr>
        <w:t>7</w:t>
      </w:r>
      <w:r w:rsidR="006B6358" w:rsidRPr="00E263D7">
        <w:rPr>
          <w:rFonts w:cstheme="minorHAnsi"/>
          <w:sz w:val="24"/>
          <w:szCs w:val="24"/>
        </w:rPr>
        <w:t xml:space="preserve"> Similarly,</w:t>
      </w:r>
      <w:r w:rsidR="006B6358" w:rsidRPr="00E263D7">
        <w:rPr>
          <w:rFonts w:cstheme="minorHAnsi"/>
          <w:sz w:val="24"/>
          <w:szCs w:val="24"/>
          <w:vertAlign w:val="superscript"/>
        </w:rPr>
        <w:t xml:space="preserve"> </w:t>
      </w:r>
      <w:r w:rsidR="00A459C3" w:rsidRPr="00E263D7">
        <w:rPr>
          <w:rFonts w:cstheme="minorHAnsi"/>
          <w:sz w:val="24"/>
          <w:szCs w:val="24"/>
        </w:rPr>
        <w:t xml:space="preserve">Service Members and Veterans with mTBI </w:t>
      </w:r>
      <w:r w:rsidR="006B6358" w:rsidRPr="00E263D7">
        <w:rPr>
          <w:rFonts w:cstheme="minorHAnsi"/>
          <w:sz w:val="24"/>
          <w:szCs w:val="24"/>
        </w:rPr>
        <w:t>in t</w:t>
      </w:r>
      <w:r w:rsidR="00A459C3" w:rsidRPr="00E263D7">
        <w:rPr>
          <w:rFonts w:cstheme="minorHAnsi"/>
          <w:sz w:val="24"/>
          <w:szCs w:val="24"/>
        </w:rPr>
        <w:t xml:space="preserve">he ‘complex moderate impact pain with worsening’ and ‘complex high impact pain’ phenotypes had significantly higher probabilities </w:t>
      </w:r>
      <w:r w:rsidR="006B6358" w:rsidRPr="00E263D7">
        <w:rPr>
          <w:rFonts w:cstheme="minorHAnsi"/>
          <w:sz w:val="24"/>
          <w:szCs w:val="24"/>
        </w:rPr>
        <w:t xml:space="preserve">for use of psychotropics, opioids, and interventional pain </w:t>
      </w:r>
      <w:r w:rsidR="00A459C3" w:rsidRPr="00E263D7">
        <w:rPr>
          <w:rFonts w:cstheme="minorHAnsi"/>
          <w:sz w:val="24"/>
          <w:szCs w:val="24"/>
        </w:rPr>
        <w:t>than those with no TBI</w:t>
      </w:r>
      <w:r w:rsidR="006B6358" w:rsidRPr="00E263D7">
        <w:rPr>
          <w:rFonts w:cstheme="minorHAnsi"/>
          <w:sz w:val="24"/>
          <w:szCs w:val="24"/>
        </w:rPr>
        <w:t>.</w:t>
      </w:r>
      <w:r w:rsidR="00626D42" w:rsidRPr="00E263D7">
        <w:rPr>
          <w:rFonts w:cstheme="minorHAnsi"/>
          <w:sz w:val="24"/>
          <w:szCs w:val="24"/>
          <w:vertAlign w:val="superscript"/>
        </w:rPr>
        <w:t>6</w:t>
      </w:r>
    </w:p>
    <w:p w14:paraId="1C1501D0" w14:textId="5603275A" w:rsidR="009247F9" w:rsidRPr="00A30748" w:rsidRDefault="000F7DB4" w:rsidP="00A30748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before="120" w:after="0" w:line="240" w:lineRule="auto"/>
        <w:rPr>
          <w:b/>
          <w:color w:val="1F497D" w:themeColor="text2"/>
          <w:sz w:val="28"/>
          <w:szCs w:val="24"/>
        </w:rPr>
      </w:pPr>
      <w:r>
        <w:rPr>
          <w:b/>
          <w:color w:val="1F497D" w:themeColor="text2"/>
          <w:sz w:val="28"/>
          <w:szCs w:val="24"/>
        </w:rPr>
        <w:t xml:space="preserve">Clinical </w:t>
      </w:r>
      <w:r w:rsidR="009247F9" w:rsidRPr="00A30748">
        <w:rPr>
          <w:b/>
          <w:color w:val="1F497D" w:themeColor="text2"/>
          <w:sz w:val="28"/>
          <w:szCs w:val="24"/>
        </w:rPr>
        <w:t>Impact</w:t>
      </w:r>
    </w:p>
    <w:p w14:paraId="692A20CB" w14:textId="4286B71B" w:rsidR="00BC4B77" w:rsidRPr="00507DEA" w:rsidRDefault="00AC757E" w:rsidP="002B2DE1">
      <w:pPr>
        <w:pStyle w:val="ListParagraph"/>
        <w:numPr>
          <w:ilvl w:val="0"/>
          <w:numId w:val="1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120" w:line="240" w:lineRule="auto"/>
        <w:ind w:left="360"/>
        <w:jc w:val="both"/>
        <w:rPr>
          <w:sz w:val="24"/>
          <w:szCs w:val="24"/>
        </w:rPr>
      </w:pPr>
      <w:r w:rsidRPr="007D42F1">
        <w:rPr>
          <w:b/>
          <w:sz w:val="24"/>
          <w:szCs w:val="24"/>
        </w:rPr>
        <w:t xml:space="preserve">Chronic </w:t>
      </w:r>
      <w:r w:rsidR="007D42F1" w:rsidRPr="007D42F1">
        <w:rPr>
          <w:b/>
          <w:sz w:val="24"/>
          <w:szCs w:val="24"/>
        </w:rPr>
        <w:t>P</w:t>
      </w:r>
      <w:r w:rsidRPr="007D42F1">
        <w:rPr>
          <w:b/>
          <w:sz w:val="24"/>
          <w:szCs w:val="24"/>
        </w:rPr>
        <w:t xml:space="preserve">ain </w:t>
      </w:r>
      <w:r w:rsidR="007D42F1" w:rsidRPr="007D42F1">
        <w:rPr>
          <w:b/>
          <w:sz w:val="24"/>
          <w:szCs w:val="24"/>
        </w:rPr>
        <w:t>as a Complex, Multidimensional Condition</w:t>
      </w:r>
      <w:r w:rsidR="007D42F1">
        <w:rPr>
          <w:sz w:val="24"/>
          <w:szCs w:val="24"/>
        </w:rPr>
        <w:t xml:space="preserve">. </w:t>
      </w:r>
      <w:r w:rsidR="00C20252">
        <w:rPr>
          <w:sz w:val="24"/>
          <w:szCs w:val="24"/>
        </w:rPr>
        <w:t>LIMBIC-CENC</w:t>
      </w:r>
      <w:r w:rsidR="007D42F1">
        <w:rPr>
          <w:sz w:val="24"/>
          <w:szCs w:val="24"/>
        </w:rPr>
        <w:t xml:space="preserve"> findings </w:t>
      </w:r>
      <w:r w:rsidR="00CD6231">
        <w:rPr>
          <w:sz w:val="24"/>
          <w:szCs w:val="24"/>
        </w:rPr>
        <w:t>demonstrate</w:t>
      </w:r>
      <w:r w:rsidR="007D42F1">
        <w:rPr>
          <w:sz w:val="24"/>
          <w:szCs w:val="24"/>
        </w:rPr>
        <w:t xml:space="preserve"> that chronic pain</w:t>
      </w:r>
      <w:r w:rsidRPr="00507DEA">
        <w:rPr>
          <w:sz w:val="24"/>
          <w:szCs w:val="24"/>
        </w:rPr>
        <w:t xml:space="preserve"> has a myriad of causes</w:t>
      </w:r>
      <w:r w:rsidR="00FB73C9" w:rsidRPr="00507DEA">
        <w:rPr>
          <w:sz w:val="24"/>
          <w:szCs w:val="24"/>
        </w:rPr>
        <w:t xml:space="preserve"> and </w:t>
      </w:r>
      <w:r w:rsidRPr="00507DEA">
        <w:rPr>
          <w:sz w:val="24"/>
          <w:szCs w:val="24"/>
        </w:rPr>
        <w:t>contributing factors</w:t>
      </w:r>
      <w:r w:rsidR="007D42F1">
        <w:rPr>
          <w:sz w:val="24"/>
          <w:szCs w:val="24"/>
        </w:rPr>
        <w:t xml:space="preserve">, with </w:t>
      </w:r>
      <w:r w:rsidRPr="00507DEA">
        <w:rPr>
          <w:sz w:val="24"/>
          <w:szCs w:val="24"/>
        </w:rPr>
        <w:t xml:space="preserve">the role of </w:t>
      </w:r>
      <w:r w:rsidR="00C20252">
        <w:rPr>
          <w:sz w:val="24"/>
          <w:szCs w:val="24"/>
        </w:rPr>
        <w:t xml:space="preserve">isolated </w:t>
      </w:r>
      <w:r w:rsidRPr="00507DEA">
        <w:rPr>
          <w:sz w:val="24"/>
          <w:szCs w:val="24"/>
        </w:rPr>
        <w:t xml:space="preserve">mTBI </w:t>
      </w:r>
      <w:r w:rsidR="007D42F1">
        <w:rPr>
          <w:sz w:val="24"/>
          <w:szCs w:val="24"/>
        </w:rPr>
        <w:t xml:space="preserve">being </w:t>
      </w:r>
      <w:r w:rsidR="00FB73C9" w:rsidRPr="00507DEA">
        <w:rPr>
          <w:sz w:val="24"/>
          <w:szCs w:val="24"/>
        </w:rPr>
        <w:t>minimal</w:t>
      </w:r>
      <w:r w:rsidRPr="00507DEA">
        <w:rPr>
          <w:sz w:val="24"/>
          <w:szCs w:val="24"/>
        </w:rPr>
        <w:t>.</w:t>
      </w:r>
      <w:r w:rsidR="00BC4B77" w:rsidRPr="00507DEA">
        <w:rPr>
          <w:sz w:val="24"/>
          <w:szCs w:val="24"/>
        </w:rPr>
        <w:t xml:space="preserve"> </w:t>
      </w:r>
      <w:r w:rsidR="00FB73C9" w:rsidRPr="00507DEA">
        <w:rPr>
          <w:sz w:val="24"/>
          <w:szCs w:val="24"/>
        </w:rPr>
        <w:t>Mental health conditions have a stronger relationship to chronic pain</w:t>
      </w:r>
      <w:r w:rsidR="007D42F1">
        <w:rPr>
          <w:sz w:val="24"/>
          <w:szCs w:val="24"/>
        </w:rPr>
        <w:t xml:space="preserve"> </w:t>
      </w:r>
      <w:r w:rsidR="00FB73C9" w:rsidRPr="00507DEA">
        <w:rPr>
          <w:sz w:val="24"/>
          <w:szCs w:val="24"/>
        </w:rPr>
        <w:t>than mTBI history</w:t>
      </w:r>
      <w:r w:rsidR="00CC500C">
        <w:rPr>
          <w:sz w:val="24"/>
          <w:szCs w:val="24"/>
        </w:rPr>
        <w:t xml:space="preserve">. </w:t>
      </w:r>
      <w:r w:rsidR="007B6305" w:rsidRPr="00507DEA">
        <w:rPr>
          <w:rFonts w:eastAsia="Calibri"/>
          <w:sz w:val="24"/>
          <w:szCs w:val="24"/>
        </w:rPr>
        <w:t>Given t</w:t>
      </w:r>
      <w:r w:rsidR="00213F71" w:rsidRPr="00507DEA">
        <w:rPr>
          <w:rFonts w:eastAsia="Calibri"/>
          <w:sz w:val="24"/>
          <w:szCs w:val="24"/>
        </w:rPr>
        <w:t xml:space="preserve">he complexity and overlap of chronic pain symptoms with other comorbid </w:t>
      </w:r>
      <w:r w:rsidR="007B6305" w:rsidRPr="00507DEA">
        <w:rPr>
          <w:rFonts w:eastAsia="Calibri"/>
          <w:sz w:val="24"/>
          <w:szCs w:val="24"/>
        </w:rPr>
        <w:t xml:space="preserve">mental health conditions, </w:t>
      </w:r>
      <w:r w:rsidR="00C20252">
        <w:rPr>
          <w:rFonts w:eastAsia="Calibri"/>
          <w:sz w:val="24"/>
          <w:szCs w:val="24"/>
        </w:rPr>
        <w:t xml:space="preserve">and the interactions between TBI and </w:t>
      </w:r>
      <w:r w:rsidR="00BD75EB">
        <w:rPr>
          <w:rFonts w:eastAsia="Calibri"/>
          <w:sz w:val="24"/>
          <w:szCs w:val="24"/>
        </w:rPr>
        <w:t xml:space="preserve">the development and response to </w:t>
      </w:r>
      <w:r w:rsidR="00C20252">
        <w:rPr>
          <w:rFonts w:eastAsia="Calibri"/>
          <w:sz w:val="24"/>
          <w:szCs w:val="24"/>
        </w:rPr>
        <w:t xml:space="preserve">mental health conditions, </w:t>
      </w:r>
      <w:r w:rsidR="00213F71" w:rsidRPr="00507DEA">
        <w:rPr>
          <w:rFonts w:eastAsia="Calibri"/>
          <w:sz w:val="24"/>
          <w:szCs w:val="24"/>
        </w:rPr>
        <w:t>S</w:t>
      </w:r>
      <w:r w:rsidR="00CC500C">
        <w:rPr>
          <w:rFonts w:eastAsia="Calibri"/>
          <w:sz w:val="24"/>
          <w:szCs w:val="24"/>
        </w:rPr>
        <w:t xml:space="preserve">ervice </w:t>
      </w:r>
      <w:r w:rsidR="00213F71" w:rsidRPr="00507DEA">
        <w:rPr>
          <w:rFonts w:eastAsia="Calibri"/>
          <w:sz w:val="24"/>
          <w:szCs w:val="24"/>
        </w:rPr>
        <w:t>M</w:t>
      </w:r>
      <w:r w:rsidR="00CC500C">
        <w:rPr>
          <w:rFonts w:eastAsia="Calibri"/>
          <w:sz w:val="24"/>
          <w:szCs w:val="24"/>
        </w:rPr>
        <w:t>ember</w:t>
      </w:r>
      <w:r w:rsidR="00213F71" w:rsidRPr="00507DEA">
        <w:rPr>
          <w:rFonts w:eastAsia="Calibri"/>
          <w:sz w:val="24"/>
          <w:szCs w:val="24"/>
        </w:rPr>
        <w:t xml:space="preserve">s and Veterans with mTBI </w:t>
      </w:r>
      <w:r w:rsidR="00CC500C">
        <w:rPr>
          <w:rFonts w:eastAsia="Calibri"/>
          <w:sz w:val="24"/>
          <w:szCs w:val="24"/>
        </w:rPr>
        <w:t>will</w:t>
      </w:r>
      <w:r w:rsidR="007B6305" w:rsidRPr="00507DEA">
        <w:rPr>
          <w:rFonts w:eastAsia="Calibri"/>
          <w:sz w:val="24"/>
          <w:szCs w:val="24"/>
        </w:rPr>
        <w:t xml:space="preserve"> </w:t>
      </w:r>
      <w:r w:rsidR="00CC500C">
        <w:rPr>
          <w:rFonts w:eastAsia="Calibri"/>
          <w:sz w:val="24"/>
          <w:szCs w:val="24"/>
        </w:rPr>
        <w:t xml:space="preserve">benefit most from </w:t>
      </w:r>
      <w:r w:rsidR="00213F71" w:rsidRPr="00507DEA">
        <w:rPr>
          <w:rFonts w:eastAsia="Calibri"/>
          <w:sz w:val="24"/>
          <w:szCs w:val="24"/>
        </w:rPr>
        <w:t>a comprehensive</w:t>
      </w:r>
      <w:r w:rsidR="007B6305" w:rsidRPr="00507DEA">
        <w:rPr>
          <w:rFonts w:eastAsia="Calibri"/>
          <w:sz w:val="24"/>
          <w:szCs w:val="24"/>
        </w:rPr>
        <w:t xml:space="preserve"> assessment and </w:t>
      </w:r>
      <w:r w:rsidR="00CC500C">
        <w:rPr>
          <w:rFonts w:eastAsia="Calibri"/>
          <w:sz w:val="24"/>
          <w:szCs w:val="24"/>
        </w:rPr>
        <w:t xml:space="preserve">holistic </w:t>
      </w:r>
      <w:r w:rsidR="007B6305" w:rsidRPr="00507DEA">
        <w:rPr>
          <w:rFonts w:eastAsia="Calibri"/>
          <w:sz w:val="24"/>
          <w:szCs w:val="24"/>
        </w:rPr>
        <w:t xml:space="preserve">treatment </w:t>
      </w:r>
      <w:r w:rsidR="00213F71" w:rsidRPr="00507DEA">
        <w:rPr>
          <w:rFonts w:eastAsia="Calibri"/>
          <w:sz w:val="24"/>
          <w:szCs w:val="24"/>
        </w:rPr>
        <w:t xml:space="preserve">approach </w:t>
      </w:r>
      <w:r w:rsidR="007B6305" w:rsidRPr="00507DEA">
        <w:rPr>
          <w:rFonts w:eastAsia="Calibri"/>
          <w:sz w:val="24"/>
          <w:szCs w:val="24"/>
        </w:rPr>
        <w:t xml:space="preserve">that </w:t>
      </w:r>
      <w:r w:rsidR="00213F71" w:rsidRPr="00507DEA">
        <w:rPr>
          <w:rFonts w:eastAsia="Calibri"/>
          <w:sz w:val="24"/>
          <w:szCs w:val="24"/>
        </w:rPr>
        <w:t>include</w:t>
      </w:r>
      <w:r w:rsidR="007B6305" w:rsidRPr="00507DEA">
        <w:rPr>
          <w:rFonts w:eastAsia="Calibri"/>
          <w:sz w:val="24"/>
          <w:szCs w:val="24"/>
        </w:rPr>
        <w:t>s</w:t>
      </w:r>
      <w:r w:rsidR="00213F71" w:rsidRPr="00507DEA">
        <w:rPr>
          <w:rFonts w:eastAsia="Calibri"/>
          <w:sz w:val="24"/>
          <w:szCs w:val="24"/>
        </w:rPr>
        <w:t xml:space="preserve"> multimodal pain management.</w:t>
      </w:r>
      <w:r w:rsidR="00BC7C51" w:rsidRPr="00BC7C51">
        <w:rPr>
          <w:sz w:val="24"/>
          <w:szCs w:val="24"/>
        </w:rPr>
        <w:t xml:space="preserve"> </w:t>
      </w:r>
      <w:r w:rsidR="00BC7C51" w:rsidRPr="00811132">
        <w:rPr>
          <w:sz w:val="24"/>
          <w:szCs w:val="24"/>
        </w:rPr>
        <w:t>Modulation of brain networks through biofeedback or other means to reduce pain and improve brain function seems an appealing treatment approach</w:t>
      </w:r>
      <w:r w:rsidR="00BC7C51">
        <w:rPr>
          <w:sz w:val="24"/>
          <w:szCs w:val="24"/>
        </w:rPr>
        <w:t xml:space="preserve">, however </w:t>
      </w:r>
      <w:r w:rsidR="00BC7C51" w:rsidRPr="00811132">
        <w:rPr>
          <w:sz w:val="24"/>
          <w:szCs w:val="24"/>
        </w:rPr>
        <w:t>more research is needed to formulate clinical recommendations.</w:t>
      </w:r>
    </w:p>
    <w:p w14:paraId="12202BCE" w14:textId="5D5D4CA7" w:rsidR="00CC500C" w:rsidRPr="00BC7C51" w:rsidRDefault="00CC500C" w:rsidP="002B2DE1">
      <w:pPr>
        <w:pStyle w:val="ListParagraph"/>
        <w:numPr>
          <w:ilvl w:val="0"/>
          <w:numId w:val="1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120" w:line="240" w:lineRule="auto"/>
        <w:ind w:left="360"/>
        <w:contextualSpacing w:val="0"/>
        <w:jc w:val="both"/>
        <w:rPr>
          <w:sz w:val="24"/>
          <w:szCs w:val="24"/>
        </w:rPr>
      </w:pPr>
      <w:r w:rsidRPr="00BC7C51">
        <w:rPr>
          <w:b/>
          <w:sz w:val="24"/>
          <w:szCs w:val="24"/>
        </w:rPr>
        <w:lastRenderedPageBreak/>
        <w:t>CPGs Recommend Against Prescribing Opioids to Veterans</w:t>
      </w:r>
      <w:r w:rsidR="00C20252">
        <w:rPr>
          <w:b/>
          <w:sz w:val="24"/>
          <w:szCs w:val="24"/>
        </w:rPr>
        <w:t>.</w:t>
      </w:r>
      <w:r w:rsidRPr="00BC7C51">
        <w:rPr>
          <w:sz w:val="24"/>
          <w:szCs w:val="24"/>
        </w:rPr>
        <w:t xml:space="preserve"> </w:t>
      </w:r>
      <w:r w:rsidR="00C20252">
        <w:rPr>
          <w:sz w:val="24"/>
          <w:szCs w:val="24"/>
        </w:rPr>
        <w:t xml:space="preserve">Opioid </w:t>
      </w:r>
      <w:r w:rsidRPr="00BC7C51">
        <w:rPr>
          <w:sz w:val="24"/>
          <w:szCs w:val="24"/>
        </w:rPr>
        <w:t xml:space="preserve">prescribing patterns did not differ between Veterans with or without TBI. Only 3% of Veterans with TBI in the </w:t>
      </w:r>
      <w:r w:rsidR="00C20252">
        <w:rPr>
          <w:sz w:val="24"/>
          <w:szCs w:val="24"/>
        </w:rPr>
        <w:t>VHA</w:t>
      </w:r>
      <w:r w:rsidRPr="00BC7C51">
        <w:rPr>
          <w:sz w:val="24"/>
          <w:szCs w:val="24"/>
        </w:rPr>
        <w:t xml:space="preserve"> were treated long-term with opioids, which provides evidence of strong adherence with </w:t>
      </w:r>
      <w:r w:rsidR="00A5779C">
        <w:rPr>
          <w:sz w:val="24"/>
          <w:szCs w:val="24"/>
        </w:rPr>
        <w:t xml:space="preserve">VA-DOD </w:t>
      </w:r>
      <w:r w:rsidRPr="00BC7C51">
        <w:rPr>
          <w:sz w:val="24"/>
          <w:szCs w:val="24"/>
        </w:rPr>
        <w:t>Pain CPG recommendations.</w:t>
      </w:r>
    </w:p>
    <w:p w14:paraId="273D8956" w14:textId="2CC33F3B" w:rsidR="007B6305" w:rsidRDefault="00845636" w:rsidP="002B2DE1">
      <w:pPr>
        <w:pStyle w:val="ListParagraph"/>
        <w:numPr>
          <w:ilvl w:val="0"/>
          <w:numId w:val="1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120" w:line="240" w:lineRule="auto"/>
        <w:ind w:left="360"/>
        <w:jc w:val="both"/>
        <w:rPr>
          <w:sz w:val="24"/>
          <w:szCs w:val="24"/>
        </w:rPr>
      </w:pPr>
      <w:r w:rsidRPr="00BC7C51">
        <w:rPr>
          <w:b/>
          <w:sz w:val="24"/>
          <w:szCs w:val="24"/>
        </w:rPr>
        <w:t xml:space="preserve">TBI and </w:t>
      </w:r>
      <w:r w:rsidR="00BC7C51" w:rsidRPr="00BC7C51">
        <w:rPr>
          <w:b/>
          <w:sz w:val="24"/>
          <w:szCs w:val="24"/>
        </w:rPr>
        <w:t>P</w:t>
      </w:r>
      <w:r w:rsidRPr="00BC7C51">
        <w:rPr>
          <w:b/>
          <w:sz w:val="24"/>
          <w:szCs w:val="24"/>
        </w:rPr>
        <w:t xml:space="preserve">ain </w:t>
      </w:r>
      <w:r w:rsidR="00BC7C51" w:rsidRPr="00BC7C51">
        <w:rPr>
          <w:b/>
          <w:sz w:val="24"/>
          <w:szCs w:val="24"/>
        </w:rPr>
        <w:t>P</w:t>
      </w:r>
      <w:r w:rsidRPr="00BC7C51">
        <w:rPr>
          <w:b/>
          <w:sz w:val="24"/>
          <w:szCs w:val="24"/>
        </w:rPr>
        <w:t>henotypes</w:t>
      </w:r>
      <w:r w:rsidR="00BC7C51">
        <w:rPr>
          <w:sz w:val="24"/>
          <w:szCs w:val="24"/>
        </w:rPr>
        <w:t>.</w:t>
      </w:r>
      <w:r w:rsidRPr="007B6305">
        <w:rPr>
          <w:sz w:val="24"/>
          <w:szCs w:val="24"/>
        </w:rPr>
        <w:t xml:space="preserve"> </w:t>
      </w:r>
      <w:r w:rsidR="007B6305">
        <w:rPr>
          <w:sz w:val="24"/>
          <w:szCs w:val="24"/>
        </w:rPr>
        <w:t xml:space="preserve">LIMBIC-CENC research </w:t>
      </w:r>
      <w:r w:rsidR="00BC7C51">
        <w:rPr>
          <w:sz w:val="24"/>
          <w:szCs w:val="24"/>
        </w:rPr>
        <w:t xml:space="preserve">will </w:t>
      </w:r>
      <w:r w:rsidR="007B6305" w:rsidRPr="007B6305">
        <w:rPr>
          <w:sz w:val="24"/>
          <w:szCs w:val="24"/>
        </w:rPr>
        <w:t>further develop and validat</w:t>
      </w:r>
      <w:r w:rsidR="007B6305">
        <w:rPr>
          <w:sz w:val="24"/>
          <w:szCs w:val="24"/>
        </w:rPr>
        <w:t xml:space="preserve">e </w:t>
      </w:r>
      <w:r w:rsidR="007B6305" w:rsidRPr="007B6305">
        <w:rPr>
          <w:sz w:val="24"/>
          <w:szCs w:val="24"/>
        </w:rPr>
        <w:t xml:space="preserve">TBI and </w:t>
      </w:r>
      <w:r w:rsidR="007B6305">
        <w:rPr>
          <w:sz w:val="24"/>
          <w:szCs w:val="24"/>
        </w:rPr>
        <w:t xml:space="preserve">pain </w:t>
      </w:r>
      <w:r w:rsidR="007B6305" w:rsidRPr="007B6305">
        <w:rPr>
          <w:sz w:val="24"/>
          <w:szCs w:val="24"/>
        </w:rPr>
        <w:t xml:space="preserve">phenotypes </w:t>
      </w:r>
      <w:r w:rsidR="00C20252">
        <w:rPr>
          <w:sz w:val="24"/>
          <w:szCs w:val="24"/>
        </w:rPr>
        <w:t xml:space="preserve">using the PLS longitudinal data </w:t>
      </w:r>
      <w:r w:rsidR="007B6305" w:rsidRPr="007B6305">
        <w:rPr>
          <w:sz w:val="24"/>
          <w:szCs w:val="24"/>
        </w:rPr>
        <w:t>t</w:t>
      </w:r>
      <w:r w:rsidR="00BC7C51">
        <w:rPr>
          <w:sz w:val="24"/>
          <w:szCs w:val="24"/>
        </w:rPr>
        <w:t xml:space="preserve">o better incorporate </w:t>
      </w:r>
      <w:r w:rsidR="007B6305">
        <w:rPr>
          <w:sz w:val="24"/>
          <w:szCs w:val="24"/>
        </w:rPr>
        <w:t xml:space="preserve">contributing mental health </w:t>
      </w:r>
      <w:r w:rsidR="00BC7C51">
        <w:rPr>
          <w:sz w:val="24"/>
          <w:szCs w:val="24"/>
        </w:rPr>
        <w:t xml:space="preserve">factors that can </w:t>
      </w:r>
      <w:r w:rsidR="007B6305">
        <w:rPr>
          <w:rFonts w:eastAsia="Calibri"/>
          <w:sz w:val="24"/>
          <w:szCs w:val="24"/>
        </w:rPr>
        <w:t xml:space="preserve">lead to the </w:t>
      </w:r>
      <w:r w:rsidR="007B6305" w:rsidRPr="008E71BB">
        <w:rPr>
          <w:rFonts w:eastAsia="Calibri"/>
          <w:sz w:val="24"/>
          <w:szCs w:val="24"/>
        </w:rPr>
        <w:t>develop</w:t>
      </w:r>
      <w:r w:rsidR="007B6305">
        <w:rPr>
          <w:rFonts w:eastAsia="Calibri"/>
          <w:sz w:val="24"/>
          <w:szCs w:val="24"/>
        </w:rPr>
        <w:t xml:space="preserve">ment of personalized pain </w:t>
      </w:r>
      <w:r w:rsidR="007B6305" w:rsidRPr="008E71BB">
        <w:rPr>
          <w:rFonts w:eastAsia="Calibri"/>
          <w:sz w:val="24"/>
          <w:szCs w:val="24"/>
        </w:rPr>
        <w:t xml:space="preserve">rehabilitation programs </w:t>
      </w:r>
      <w:r w:rsidR="007B6305">
        <w:rPr>
          <w:rFonts w:eastAsia="Calibri"/>
          <w:sz w:val="24"/>
          <w:szCs w:val="24"/>
        </w:rPr>
        <w:t xml:space="preserve">that are </w:t>
      </w:r>
      <w:r w:rsidR="007B6305" w:rsidRPr="008E71BB">
        <w:rPr>
          <w:rFonts w:eastAsia="Calibri"/>
          <w:sz w:val="24"/>
          <w:szCs w:val="24"/>
        </w:rPr>
        <w:t xml:space="preserve">tailored to the nuances of each </w:t>
      </w:r>
      <w:r w:rsidR="007B6305">
        <w:rPr>
          <w:rFonts w:eastAsia="Calibri"/>
          <w:sz w:val="24"/>
          <w:szCs w:val="24"/>
        </w:rPr>
        <w:t>Veterans pain profile.</w:t>
      </w:r>
      <w:r w:rsidR="00BC7C51">
        <w:rPr>
          <w:sz w:val="24"/>
          <w:szCs w:val="24"/>
        </w:rPr>
        <w:t xml:space="preserve"> </w:t>
      </w:r>
    </w:p>
    <w:p w14:paraId="33B4B080" w14:textId="77777777" w:rsidR="00220622" w:rsidRPr="00A30748" w:rsidRDefault="00220622" w:rsidP="00A30748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before="120" w:after="0" w:line="240" w:lineRule="auto"/>
        <w:rPr>
          <w:b/>
          <w:color w:val="1F497D" w:themeColor="text2"/>
          <w:sz w:val="28"/>
          <w:szCs w:val="24"/>
        </w:rPr>
      </w:pPr>
      <w:r w:rsidRPr="00A30748">
        <w:rPr>
          <w:b/>
          <w:color w:val="1F497D" w:themeColor="text2"/>
          <w:sz w:val="28"/>
          <w:szCs w:val="24"/>
        </w:rPr>
        <w:t>Primary Knowledge Translation Products</w:t>
      </w:r>
    </w:p>
    <w:p w14:paraId="4BE16B89" w14:textId="5756B86D" w:rsidR="002A7A41" w:rsidRPr="002B2DE1" w:rsidRDefault="002A7A41" w:rsidP="002B2DE1">
      <w:pPr>
        <w:pStyle w:val="ListParagraph"/>
        <w:numPr>
          <w:ilvl w:val="0"/>
          <w:numId w:val="1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120" w:line="240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2B2DE1">
        <w:rPr>
          <w:rFonts w:cstheme="minorHAnsi"/>
          <w:sz w:val="24"/>
          <w:szCs w:val="24"/>
        </w:rPr>
        <w:t xml:space="preserve">LIMBIC-CENC provides a repository of information on </w:t>
      </w:r>
      <w:hyperlink r:id="rId8" w:history="1">
        <w:r w:rsidR="0089527A" w:rsidRPr="002B2DE1">
          <w:rPr>
            <w:rStyle w:val="Hyperlink"/>
            <w:rFonts w:cstheme="minorHAnsi"/>
            <w:sz w:val="24"/>
            <w:szCs w:val="24"/>
          </w:rPr>
          <w:t>Pain and TBI for SMs, Vs, and Families</w:t>
        </w:r>
      </w:hyperlink>
      <w:r w:rsidRPr="002B2DE1">
        <w:rPr>
          <w:rFonts w:cstheme="minorHAnsi"/>
          <w:sz w:val="24"/>
          <w:szCs w:val="24"/>
        </w:rPr>
        <w:t xml:space="preserve"> and </w:t>
      </w:r>
      <w:hyperlink r:id="rId9" w:history="1">
        <w:r w:rsidR="00082C16" w:rsidRPr="002B2DE1">
          <w:rPr>
            <w:rStyle w:val="Hyperlink"/>
            <w:rFonts w:cstheme="minorHAnsi"/>
            <w:sz w:val="24"/>
            <w:szCs w:val="24"/>
          </w:rPr>
          <w:t>Pain and TBI for Clinicians</w:t>
        </w:r>
      </w:hyperlink>
      <w:r w:rsidRPr="002B2DE1">
        <w:rPr>
          <w:rFonts w:cstheme="minorHAnsi"/>
          <w:sz w:val="24"/>
          <w:szCs w:val="24"/>
        </w:rPr>
        <w:t>.</w:t>
      </w:r>
    </w:p>
    <w:p w14:paraId="03E0A89F" w14:textId="07E37E97" w:rsidR="00220622" w:rsidRDefault="002A7A41" w:rsidP="002B2DE1">
      <w:pPr>
        <w:pStyle w:val="ListParagraph"/>
        <w:numPr>
          <w:ilvl w:val="0"/>
          <w:numId w:val="1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120" w:line="240" w:lineRule="auto"/>
        <w:ind w:left="360"/>
        <w:contextualSpacing w:val="0"/>
        <w:jc w:val="both"/>
        <w:rPr>
          <w:sz w:val="24"/>
          <w:szCs w:val="24"/>
        </w:rPr>
      </w:pPr>
      <w:r w:rsidRPr="002B2DE1">
        <w:rPr>
          <w:sz w:val="24"/>
          <w:szCs w:val="24"/>
        </w:rPr>
        <w:t xml:space="preserve">The </w:t>
      </w:r>
      <w:hyperlink r:id="rId10" w:history="1">
        <w:r w:rsidR="00767081" w:rsidRPr="002B2DE1">
          <w:rPr>
            <w:rStyle w:val="Hyperlink"/>
            <w:sz w:val="24"/>
            <w:szCs w:val="24"/>
          </w:rPr>
          <w:t>Abstract Veterans TBI Health and Outcomes Podcasts</w:t>
        </w:r>
      </w:hyperlink>
      <w:r w:rsidRPr="002B2DE1">
        <w:rPr>
          <w:sz w:val="24"/>
          <w:szCs w:val="24"/>
        </w:rPr>
        <w:t xml:space="preserve"> provides evidence-informed and real world patient, family and clinician perspectives on assessing and self-managing TBI and pain.</w:t>
      </w:r>
    </w:p>
    <w:p w14:paraId="3D7C1F5A" w14:textId="77777777" w:rsidR="002B2DE1" w:rsidRPr="002B2DE1" w:rsidRDefault="002B2DE1" w:rsidP="002B2DE1">
      <w:p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120" w:line="240" w:lineRule="auto"/>
        <w:jc w:val="both"/>
        <w:rPr>
          <w:sz w:val="24"/>
          <w:szCs w:val="24"/>
        </w:rPr>
      </w:pPr>
    </w:p>
    <w:p w14:paraId="5CB18439" w14:textId="6FF29744" w:rsidR="00220622" w:rsidRPr="002B2DE1" w:rsidRDefault="00220622" w:rsidP="002B2DE1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before="240" w:after="120" w:line="240" w:lineRule="auto"/>
        <w:jc w:val="center"/>
        <w:rPr>
          <w:b/>
          <w:sz w:val="20"/>
          <w:szCs w:val="20"/>
        </w:rPr>
      </w:pPr>
      <w:r w:rsidRPr="002B2DE1">
        <w:rPr>
          <w:b/>
          <w:sz w:val="20"/>
          <w:szCs w:val="20"/>
        </w:rPr>
        <w:t>TBI, Pain and Opioid Therapy References</w:t>
      </w:r>
    </w:p>
    <w:p w14:paraId="5C7E49B0" w14:textId="4B8542D8" w:rsidR="00E86424" w:rsidRPr="002B2DE1" w:rsidRDefault="00E86424" w:rsidP="00D1368C">
      <w:pPr>
        <w:pStyle w:val="ListParagraph"/>
        <w:numPr>
          <w:ilvl w:val="0"/>
          <w:numId w:val="29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contextualSpacing w:val="0"/>
        <w:jc w:val="both"/>
        <w:rPr>
          <w:sz w:val="20"/>
          <w:szCs w:val="20"/>
        </w:rPr>
      </w:pPr>
      <w:r w:rsidRPr="002B2DE1">
        <w:rPr>
          <w:sz w:val="20"/>
          <w:szCs w:val="20"/>
        </w:rPr>
        <w:t>Hoot MR, Levin HS, Smith AN, Goldberg G, Wilde EA, Walker WC, Eapen BC, Nolen T, Pugh NL. Pain and chronic mild traumatic brain injury in the US military population: a Chronic Effects of Neurotrauma Consortium study. Brain Inj 2018;32(10):1169-1177. doi: 10.1080/02699052.2018.1482427. PMID: 29883191.</w:t>
      </w:r>
    </w:p>
    <w:p w14:paraId="59FF7CB8" w14:textId="030F8171" w:rsidR="009624C7" w:rsidRPr="002B2DE1" w:rsidRDefault="009624C7" w:rsidP="00D1368C">
      <w:pPr>
        <w:pStyle w:val="ListParagraph"/>
        <w:numPr>
          <w:ilvl w:val="0"/>
          <w:numId w:val="29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contextualSpacing w:val="0"/>
        <w:jc w:val="both"/>
        <w:rPr>
          <w:sz w:val="20"/>
          <w:szCs w:val="20"/>
        </w:rPr>
      </w:pPr>
      <w:r w:rsidRPr="002B2DE1">
        <w:rPr>
          <w:sz w:val="20"/>
          <w:szCs w:val="20"/>
        </w:rPr>
        <w:t>O’Neil ME, Carlson KF, Holmer HK, Ayers CK, Morasco BJ, Kansagara D, Kondo K. Chronic Pain in Veterans and Servicemembers with a History of Mild Traumatic Brain Injury: A Systematic Review [Internet]. Washington (DC): Department of Veterans Affairs (US); 2020 Aug. PMID: 33400450.</w:t>
      </w:r>
    </w:p>
    <w:p w14:paraId="1D9077C7" w14:textId="77777777" w:rsidR="00471DBC" w:rsidRPr="002B2DE1" w:rsidRDefault="008F3B99" w:rsidP="00962F7C">
      <w:pPr>
        <w:pStyle w:val="ListParagraph"/>
        <w:numPr>
          <w:ilvl w:val="0"/>
          <w:numId w:val="29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contextualSpacing w:val="0"/>
        <w:jc w:val="both"/>
        <w:rPr>
          <w:sz w:val="20"/>
          <w:szCs w:val="20"/>
        </w:rPr>
      </w:pPr>
      <w:r w:rsidRPr="002B2DE1">
        <w:rPr>
          <w:sz w:val="20"/>
          <w:szCs w:val="20"/>
        </w:rPr>
        <w:t xml:space="preserve">Walker WC, Clark SW, </w:t>
      </w:r>
      <w:proofErr w:type="spellStart"/>
      <w:r w:rsidRPr="002B2DE1">
        <w:rPr>
          <w:sz w:val="20"/>
          <w:szCs w:val="20"/>
        </w:rPr>
        <w:t>Eppich</w:t>
      </w:r>
      <w:proofErr w:type="spellEnd"/>
      <w:r w:rsidRPr="002B2DE1">
        <w:rPr>
          <w:sz w:val="20"/>
          <w:szCs w:val="20"/>
        </w:rPr>
        <w:t xml:space="preserve"> K, Wilde EA, Martin AM, Allen CM, Cortez MM, Pugh MJ, Walton SR, Kenney K. Headache among combat-exposed veterans and service members and its relation to mild traumatic brain injury history and other factors: a LIMBIC-CENC study. Front Neurol. 2023 Sep 20;14:1242871. </w:t>
      </w:r>
      <w:proofErr w:type="spellStart"/>
      <w:r w:rsidRPr="002B2DE1">
        <w:rPr>
          <w:sz w:val="20"/>
          <w:szCs w:val="20"/>
        </w:rPr>
        <w:t>doi</w:t>
      </w:r>
      <w:proofErr w:type="spellEnd"/>
      <w:r w:rsidRPr="002B2DE1">
        <w:rPr>
          <w:sz w:val="20"/>
          <w:szCs w:val="20"/>
        </w:rPr>
        <w:t>: 10.3389/fneur.2023.1242871. PMID: 37808506; PMCID: PMC10552781.</w:t>
      </w:r>
    </w:p>
    <w:p w14:paraId="4BB35DE7" w14:textId="55CC66CC" w:rsidR="00962F7C" w:rsidRPr="002B2DE1" w:rsidRDefault="00962F7C" w:rsidP="00962F7C">
      <w:pPr>
        <w:pStyle w:val="ListParagraph"/>
        <w:numPr>
          <w:ilvl w:val="0"/>
          <w:numId w:val="29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contextualSpacing w:val="0"/>
        <w:jc w:val="both"/>
        <w:rPr>
          <w:sz w:val="20"/>
          <w:szCs w:val="20"/>
        </w:rPr>
      </w:pPr>
      <w:r w:rsidRPr="002B2DE1">
        <w:rPr>
          <w:sz w:val="20"/>
          <w:szCs w:val="20"/>
        </w:rPr>
        <w:t>Ord AS, Lad SS, Shura RD, Rowland JA, Taber</w:t>
      </w:r>
      <w:r w:rsidR="00F769D9" w:rsidRPr="002B2DE1">
        <w:rPr>
          <w:sz w:val="20"/>
          <w:szCs w:val="20"/>
        </w:rPr>
        <w:t xml:space="preserve"> </w:t>
      </w:r>
      <w:r w:rsidRPr="002B2DE1">
        <w:rPr>
          <w:sz w:val="20"/>
          <w:szCs w:val="20"/>
        </w:rPr>
        <w:t>KH</w:t>
      </w:r>
      <w:r w:rsidR="00F769D9" w:rsidRPr="002B2DE1">
        <w:rPr>
          <w:sz w:val="20"/>
          <w:szCs w:val="20"/>
        </w:rPr>
        <w:t>,</w:t>
      </w:r>
      <w:r w:rsidRPr="002B2DE1">
        <w:rPr>
          <w:sz w:val="20"/>
          <w:szCs w:val="20"/>
        </w:rPr>
        <w:t xml:space="preserve"> Martindale SL</w:t>
      </w:r>
      <w:r w:rsidR="00F769D9" w:rsidRPr="002B2DE1">
        <w:rPr>
          <w:sz w:val="20"/>
          <w:szCs w:val="20"/>
        </w:rPr>
        <w:t xml:space="preserve">: </w:t>
      </w:r>
      <w:r w:rsidRPr="002B2DE1">
        <w:rPr>
          <w:sz w:val="20"/>
          <w:szCs w:val="20"/>
        </w:rPr>
        <w:t>Pain interference and quality of life in combat veterans: Examining the roles of posttraumatic stress disorder, traumatic brain injury, and sleep quality. Rehabil Psychology</w:t>
      </w:r>
      <w:r w:rsidR="00F769D9" w:rsidRPr="002B2DE1">
        <w:rPr>
          <w:sz w:val="20"/>
          <w:szCs w:val="20"/>
        </w:rPr>
        <w:t xml:space="preserve"> 2021;66(1):31.</w:t>
      </w:r>
      <w:r w:rsidRPr="002B2DE1">
        <w:rPr>
          <w:sz w:val="20"/>
          <w:szCs w:val="20"/>
        </w:rPr>
        <w:t xml:space="preserve"> doi:10.1037/rep0000333</w:t>
      </w:r>
    </w:p>
    <w:p w14:paraId="536CF377" w14:textId="5262281E" w:rsidR="009F0B6B" w:rsidRPr="002B2DE1" w:rsidRDefault="009F0B6B" w:rsidP="00D1368C">
      <w:pPr>
        <w:pStyle w:val="ListParagraph"/>
        <w:numPr>
          <w:ilvl w:val="0"/>
          <w:numId w:val="29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contextualSpacing w:val="0"/>
        <w:jc w:val="both"/>
        <w:rPr>
          <w:sz w:val="20"/>
          <w:szCs w:val="20"/>
        </w:rPr>
      </w:pPr>
      <w:r w:rsidRPr="002B2DE1">
        <w:rPr>
          <w:sz w:val="20"/>
          <w:szCs w:val="20"/>
        </w:rPr>
        <w:t>Seal KH, Bertenthal D, Barnes DE, Byers AL, Strigo I, Yaffe K: Chronic Effects of Neurotrauma Consortium Study Group.</w:t>
      </w:r>
      <w:r w:rsidR="00FD4281" w:rsidRPr="002B2DE1">
        <w:rPr>
          <w:sz w:val="20"/>
          <w:szCs w:val="20"/>
        </w:rPr>
        <w:t xml:space="preserve"> </w:t>
      </w:r>
      <w:r w:rsidRPr="002B2DE1">
        <w:rPr>
          <w:sz w:val="20"/>
          <w:szCs w:val="20"/>
        </w:rPr>
        <w:t xml:space="preserve">Association of Traumatic Brain Injury </w:t>
      </w:r>
      <w:r w:rsidR="00FD4281" w:rsidRPr="002B2DE1">
        <w:rPr>
          <w:sz w:val="20"/>
          <w:szCs w:val="20"/>
        </w:rPr>
        <w:t>with</w:t>
      </w:r>
      <w:r w:rsidRPr="002B2DE1">
        <w:rPr>
          <w:sz w:val="20"/>
          <w:szCs w:val="20"/>
        </w:rPr>
        <w:t xml:space="preserve"> Chronic Pain in Iraq and Afghanistan Veterans: Effect of Comorbid Mental Health Conditions. Arch Phys Med Rehabil. 2017 Aug;98(8):1636-1645. doi: 10.1016/j.apmr.2017.03.026. PMID: 28455190</w:t>
      </w:r>
    </w:p>
    <w:p w14:paraId="06C88BE5" w14:textId="163EDBCF" w:rsidR="00A459C3" w:rsidRPr="002B2DE1" w:rsidRDefault="00A459C3" w:rsidP="00D1368C">
      <w:pPr>
        <w:pStyle w:val="ListParagraph"/>
        <w:numPr>
          <w:ilvl w:val="0"/>
          <w:numId w:val="29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contextualSpacing w:val="0"/>
        <w:jc w:val="both"/>
        <w:rPr>
          <w:sz w:val="20"/>
          <w:szCs w:val="20"/>
        </w:rPr>
      </w:pPr>
      <w:r w:rsidRPr="002B2DE1">
        <w:rPr>
          <w:sz w:val="20"/>
          <w:szCs w:val="20"/>
        </w:rPr>
        <w:t>Song K, Wang CP, McGeary DD, Jaramillo CA, Eapen BC, Amuan M, McGeary CA, Potter JS, Pugh MJ. Five-year Pain Intensity and Treatment Trajectories of Post-9/11 Veterans With Mild Traumatic Brain Injury. J Pain. 2020;21(9-10):1005-1017. doi: 10.1016/j.jpain.2019.12.009. PMID: 31981717; PMCID: PMC7375016.</w:t>
      </w:r>
    </w:p>
    <w:p w14:paraId="5F2F7A7F" w14:textId="5BA74D94" w:rsidR="005D56AD" w:rsidRPr="002B2DE1" w:rsidRDefault="005D56AD" w:rsidP="00D1368C">
      <w:pPr>
        <w:pStyle w:val="ListParagraph"/>
        <w:numPr>
          <w:ilvl w:val="0"/>
          <w:numId w:val="29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contextualSpacing w:val="0"/>
        <w:jc w:val="both"/>
        <w:rPr>
          <w:sz w:val="20"/>
          <w:szCs w:val="20"/>
        </w:rPr>
      </w:pPr>
      <w:r w:rsidRPr="002B2DE1">
        <w:rPr>
          <w:sz w:val="20"/>
          <w:szCs w:val="20"/>
        </w:rPr>
        <w:t>Bertenthal</w:t>
      </w:r>
      <w:r w:rsidR="00F769D9" w:rsidRPr="002B2DE1">
        <w:rPr>
          <w:sz w:val="20"/>
          <w:szCs w:val="20"/>
        </w:rPr>
        <w:t xml:space="preserve"> </w:t>
      </w:r>
      <w:r w:rsidRPr="002B2DE1">
        <w:rPr>
          <w:sz w:val="20"/>
          <w:szCs w:val="20"/>
        </w:rPr>
        <w:t>D, Yaffe K, Barnes DE, Byers AL, Gibson CJ, Seal</w:t>
      </w:r>
      <w:r w:rsidR="00F769D9" w:rsidRPr="002B2DE1">
        <w:rPr>
          <w:sz w:val="20"/>
          <w:szCs w:val="20"/>
        </w:rPr>
        <w:t xml:space="preserve"> </w:t>
      </w:r>
      <w:r w:rsidRPr="002B2DE1">
        <w:rPr>
          <w:sz w:val="20"/>
          <w:szCs w:val="20"/>
        </w:rPr>
        <w:t xml:space="preserve">KH, &amp; </w:t>
      </w:r>
      <w:r w:rsidR="00F769D9" w:rsidRPr="002B2DE1">
        <w:rPr>
          <w:sz w:val="20"/>
          <w:szCs w:val="20"/>
        </w:rPr>
        <w:t>CENC</w:t>
      </w:r>
      <w:r w:rsidRPr="002B2DE1">
        <w:rPr>
          <w:sz w:val="20"/>
          <w:szCs w:val="20"/>
        </w:rPr>
        <w:t xml:space="preserve"> Consortium Study Group</w:t>
      </w:r>
      <w:r w:rsidR="00F769D9" w:rsidRPr="002B2DE1">
        <w:rPr>
          <w:sz w:val="20"/>
          <w:szCs w:val="20"/>
        </w:rPr>
        <w:t>:</w:t>
      </w:r>
      <w:r w:rsidRPr="002B2DE1">
        <w:rPr>
          <w:sz w:val="20"/>
          <w:szCs w:val="20"/>
        </w:rPr>
        <w:t xml:space="preserve"> Do postconcussive symptoms from traumatic brain injury in combat veterans predict risk for receiving opioid therapy for chronic pain?. Brain Injury</w:t>
      </w:r>
      <w:r w:rsidR="00F769D9" w:rsidRPr="002B2DE1">
        <w:rPr>
          <w:sz w:val="20"/>
          <w:szCs w:val="20"/>
        </w:rPr>
        <w:t xml:space="preserve"> 2018:</w:t>
      </w:r>
      <w:r w:rsidRPr="002B2DE1">
        <w:rPr>
          <w:sz w:val="20"/>
          <w:szCs w:val="20"/>
        </w:rPr>
        <w:t xml:space="preserve">32(10), 1188–1196. </w:t>
      </w:r>
      <w:hyperlink r:id="rId11" w:history="1">
        <w:r w:rsidRPr="002B2DE1">
          <w:rPr>
            <w:rStyle w:val="Hyperlink"/>
            <w:sz w:val="20"/>
            <w:szCs w:val="20"/>
          </w:rPr>
          <w:t>https://doi.org/10.1080/02699052.2018.1493535</w:t>
        </w:r>
      </w:hyperlink>
    </w:p>
    <w:p w14:paraId="414CA076" w14:textId="2EB2D651" w:rsidR="00220622" w:rsidRPr="002B2DE1" w:rsidRDefault="005D56AD" w:rsidP="00D1368C">
      <w:pPr>
        <w:pStyle w:val="ListParagraph"/>
        <w:numPr>
          <w:ilvl w:val="0"/>
          <w:numId w:val="29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contextualSpacing w:val="0"/>
        <w:jc w:val="both"/>
        <w:rPr>
          <w:sz w:val="20"/>
          <w:szCs w:val="20"/>
        </w:rPr>
      </w:pPr>
      <w:r w:rsidRPr="002B2DE1">
        <w:rPr>
          <w:sz w:val="20"/>
          <w:szCs w:val="20"/>
        </w:rPr>
        <w:t xml:space="preserve">Seal KH, Bertenthal D, Barnes DE, Byers AL, Gibson CJ, Rife TL, Yaffe K &amp; </w:t>
      </w:r>
      <w:r w:rsidR="00F769D9" w:rsidRPr="002B2DE1">
        <w:rPr>
          <w:sz w:val="20"/>
          <w:szCs w:val="20"/>
        </w:rPr>
        <w:t>CENC</w:t>
      </w:r>
      <w:r w:rsidRPr="002B2DE1">
        <w:rPr>
          <w:sz w:val="20"/>
          <w:szCs w:val="20"/>
        </w:rPr>
        <w:t xml:space="preserve"> Study Group</w:t>
      </w:r>
      <w:r w:rsidR="00F769D9" w:rsidRPr="002B2DE1">
        <w:rPr>
          <w:sz w:val="20"/>
          <w:szCs w:val="20"/>
        </w:rPr>
        <w:t>:</w:t>
      </w:r>
      <w:r w:rsidRPr="002B2DE1">
        <w:rPr>
          <w:sz w:val="20"/>
          <w:szCs w:val="20"/>
        </w:rPr>
        <w:t xml:space="preserve"> Traumatic brain injury and receipt of prescription opioid therapy for chronic pain in Iraq and Afghanistan veterans: Do clinical practice guidelines matter?. The Journal of Pain: Official Journal of the Amer Pain Soc</w:t>
      </w:r>
      <w:r w:rsidR="00F769D9" w:rsidRPr="002B2DE1">
        <w:rPr>
          <w:sz w:val="20"/>
          <w:szCs w:val="20"/>
        </w:rPr>
        <w:t xml:space="preserve"> 2018:</w:t>
      </w:r>
      <w:r w:rsidRPr="002B2DE1">
        <w:rPr>
          <w:sz w:val="20"/>
          <w:szCs w:val="20"/>
        </w:rPr>
        <w:t xml:space="preserve">19(8), 931–941. </w:t>
      </w:r>
      <w:hyperlink r:id="rId12" w:history="1">
        <w:r w:rsidR="00A12125" w:rsidRPr="002B2DE1">
          <w:rPr>
            <w:rStyle w:val="Hyperlink"/>
            <w:sz w:val="20"/>
            <w:szCs w:val="20"/>
          </w:rPr>
          <w:t>https://doi.org/10.1016/j.jpain.2018.03.005</w:t>
        </w:r>
      </w:hyperlink>
    </w:p>
    <w:p w14:paraId="2C68BD9C" w14:textId="178F0CB2" w:rsidR="00775205" w:rsidRDefault="00775205" w:rsidP="00775205">
      <w:pPr>
        <w:spacing w:after="0" w:line="240" w:lineRule="auto"/>
        <w:rPr>
          <w:bCs/>
          <w:sz w:val="24"/>
          <w:szCs w:val="24"/>
        </w:rPr>
      </w:pPr>
    </w:p>
    <w:p w14:paraId="6A8E3A36" w14:textId="77777777" w:rsidR="00D52071" w:rsidRPr="00A720FD" w:rsidRDefault="00D52071" w:rsidP="00D52071">
      <w:p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003F72"/>
        <w:spacing w:after="0" w:line="240" w:lineRule="auto"/>
        <w:jc w:val="both"/>
        <w:rPr>
          <w:sz w:val="18"/>
          <w:szCs w:val="20"/>
        </w:rPr>
      </w:pPr>
      <w:r w:rsidRPr="00CD6231">
        <w:rPr>
          <w:i/>
          <w:sz w:val="18"/>
          <w:szCs w:val="20"/>
        </w:rPr>
        <w:t>LIMBIC-CENC research and its KT products were supported financially by the Department of Defense, Chronic Effects of Neurotrauma Consortium (CENC) Award W81XWH-13-2-0095 and Department of Veterans Affairs CENC Award I01 CX001135.  Any opinions, findings, conclusions or recommendations expressed in this publication are those of the author(s) and do not necessarily</w:t>
      </w:r>
      <w:r w:rsidRPr="00A720FD">
        <w:rPr>
          <w:i/>
          <w:sz w:val="18"/>
          <w:szCs w:val="20"/>
        </w:rPr>
        <w:t xml:space="preserve"> reflect the views of the U.S. Government or the U.S. Department of Veterans Affairs, and no official endorsement should be inferred.</w:t>
      </w:r>
    </w:p>
    <w:sectPr w:rsidR="00D52071" w:rsidRPr="00A720FD" w:rsidSect="001D5B1C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138E2" w14:textId="77777777" w:rsidR="00E22A10" w:rsidRDefault="00E22A10" w:rsidP="004C0DF1">
      <w:pPr>
        <w:spacing w:after="0" w:line="240" w:lineRule="auto"/>
      </w:pPr>
      <w:r>
        <w:separator/>
      </w:r>
    </w:p>
  </w:endnote>
  <w:endnote w:type="continuationSeparator" w:id="0">
    <w:p w14:paraId="1CF3CF07" w14:textId="77777777" w:rsidR="00E22A10" w:rsidRDefault="00E22A10" w:rsidP="004C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1695261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B8F48" w14:textId="4B31592D" w:rsidR="008F3B99" w:rsidRPr="004C0DF1" w:rsidRDefault="008F3B99">
        <w:pPr>
          <w:pStyle w:val="Footer"/>
          <w:jc w:val="right"/>
          <w:rPr>
            <w:i/>
          </w:rPr>
        </w:pPr>
        <w:r w:rsidRPr="004C0DF1">
          <w:rPr>
            <w:i/>
          </w:rPr>
          <w:t xml:space="preserve">  LIMBIC-CENC Clinical Care Monograph</w:t>
        </w:r>
        <w:r>
          <w:rPr>
            <w:i/>
          </w:rPr>
          <w:t xml:space="preserve">      </w:t>
        </w:r>
        <w:r w:rsidRPr="004C0DF1">
          <w:rPr>
            <w:i/>
          </w:rPr>
          <w:t xml:space="preserve"> </w:t>
        </w:r>
        <w:r w:rsidRPr="004C0DF1">
          <w:rPr>
            <w:i/>
          </w:rPr>
          <w:fldChar w:fldCharType="begin"/>
        </w:r>
        <w:r w:rsidRPr="004C0DF1">
          <w:rPr>
            <w:i/>
          </w:rPr>
          <w:instrText xml:space="preserve"> PAGE   \* MERGEFORMAT </w:instrText>
        </w:r>
        <w:r w:rsidRPr="004C0DF1">
          <w:rPr>
            <w:i/>
          </w:rPr>
          <w:fldChar w:fldCharType="separate"/>
        </w:r>
        <w:r w:rsidRPr="004C0DF1">
          <w:rPr>
            <w:i/>
            <w:noProof/>
          </w:rPr>
          <w:t>2</w:t>
        </w:r>
        <w:r w:rsidRPr="004C0DF1">
          <w:rPr>
            <w:i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A40A2" w14:textId="77777777" w:rsidR="00E22A10" w:rsidRDefault="00E22A10" w:rsidP="004C0DF1">
      <w:pPr>
        <w:spacing w:after="0" w:line="240" w:lineRule="auto"/>
      </w:pPr>
      <w:r>
        <w:separator/>
      </w:r>
    </w:p>
  </w:footnote>
  <w:footnote w:type="continuationSeparator" w:id="0">
    <w:p w14:paraId="431A16CF" w14:textId="77777777" w:rsidR="00E22A10" w:rsidRDefault="00E22A10" w:rsidP="004C0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F44"/>
    <w:multiLevelType w:val="hybridMultilevel"/>
    <w:tmpl w:val="43F6A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A0D52FF"/>
    <w:multiLevelType w:val="hybridMultilevel"/>
    <w:tmpl w:val="8D6E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799"/>
    <w:multiLevelType w:val="hybridMultilevel"/>
    <w:tmpl w:val="052CA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18B"/>
    <w:multiLevelType w:val="hybridMultilevel"/>
    <w:tmpl w:val="04860B12"/>
    <w:lvl w:ilvl="0" w:tplc="4824E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4A3788"/>
    <w:multiLevelType w:val="hybridMultilevel"/>
    <w:tmpl w:val="60703494"/>
    <w:lvl w:ilvl="0" w:tplc="837CD4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7129"/>
    <w:multiLevelType w:val="hybridMultilevel"/>
    <w:tmpl w:val="E872F602"/>
    <w:lvl w:ilvl="0" w:tplc="D59A2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98653DD"/>
    <w:multiLevelType w:val="hybridMultilevel"/>
    <w:tmpl w:val="85B2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340DD"/>
    <w:multiLevelType w:val="hybridMultilevel"/>
    <w:tmpl w:val="E872F602"/>
    <w:lvl w:ilvl="0" w:tplc="D59A2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1933FAD"/>
    <w:multiLevelType w:val="hybridMultilevel"/>
    <w:tmpl w:val="20BE676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20D7E07"/>
    <w:multiLevelType w:val="hybridMultilevel"/>
    <w:tmpl w:val="DE6449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26C3E"/>
    <w:multiLevelType w:val="hybridMultilevel"/>
    <w:tmpl w:val="9E187738"/>
    <w:lvl w:ilvl="0" w:tplc="8AE60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7E6CE2"/>
    <w:multiLevelType w:val="hybridMultilevel"/>
    <w:tmpl w:val="C7EA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701F6"/>
    <w:multiLevelType w:val="hybridMultilevel"/>
    <w:tmpl w:val="E872F602"/>
    <w:lvl w:ilvl="0" w:tplc="D59A2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0F55B1E"/>
    <w:multiLevelType w:val="hybridMultilevel"/>
    <w:tmpl w:val="A1F24992"/>
    <w:lvl w:ilvl="0" w:tplc="230255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F4B7E"/>
    <w:multiLevelType w:val="hybridMultilevel"/>
    <w:tmpl w:val="8FD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EC3"/>
    <w:multiLevelType w:val="hybridMultilevel"/>
    <w:tmpl w:val="D12060D8"/>
    <w:lvl w:ilvl="0" w:tplc="4AD07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B542A"/>
    <w:multiLevelType w:val="hybridMultilevel"/>
    <w:tmpl w:val="46AC9E94"/>
    <w:lvl w:ilvl="0" w:tplc="4014B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86AD1"/>
    <w:multiLevelType w:val="hybridMultilevel"/>
    <w:tmpl w:val="5A46A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0822AD"/>
    <w:multiLevelType w:val="hybridMultilevel"/>
    <w:tmpl w:val="FD04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469BC"/>
    <w:multiLevelType w:val="hybridMultilevel"/>
    <w:tmpl w:val="674A11C6"/>
    <w:lvl w:ilvl="0" w:tplc="548CD4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A2C6A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342D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B202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BC0E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3029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5A06C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2DE30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2012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802326B"/>
    <w:multiLevelType w:val="hybridMultilevel"/>
    <w:tmpl w:val="F05C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809E0"/>
    <w:multiLevelType w:val="hybridMultilevel"/>
    <w:tmpl w:val="4A26FF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C4C4891"/>
    <w:multiLevelType w:val="hybridMultilevel"/>
    <w:tmpl w:val="2820AD16"/>
    <w:lvl w:ilvl="0" w:tplc="38E03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166222"/>
    <w:multiLevelType w:val="hybridMultilevel"/>
    <w:tmpl w:val="01962A98"/>
    <w:lvl w:ilvl="0" w:tplc="D452F5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3E1E4D"/>
    <w:multiLevelType w:val="hybridMultilevel"/>
    <w:tmpl w:val="39304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6447FC"/>
    <w:multiLevelType w:val="hybridMultilevel"/>
    <w:tmpl w:val="BFF25F58"/>
    <w:lvl w:ilvl="0" w:tplc="1D26A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FB0438"/>
    <w:multiLevelType w:val="hybridMultilevel"/>
    <w:tmpl w:val="30CA1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247287"/>
    <w:multiLevelType w:val="hybridMultilevel"/>
    <w:tmpl w:val="CCB86670"/>
    <w:lvl w:ilvl="0" w:tplc="1D26A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BB79A1"/>
    <w:multiLevelType w:val="hybridMultilevel"/>
    <w:tmpl w:val="C6D46AC0"/>
    <w:lvl w:ilvl="0" w:tplc="5CE06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51D2F"/>
    <w:multiLevelType w:val="hybridMultilevel"/>
    <w:tmpl w:val="BA3042C8"/>
    <w:lvl w:ilvl="0" w:tplc="38E0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70481"/>
    <w:multiLevelType w:val="multilevel"/>
    <w:tmpl w:val="EBD03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8F05D1"/>
    <w:multiLevelType w:val="hybridMultilevel"/>
    <w:tmpl w:val="8460DC3A"/>
    <w:lvl w:ilvl="0" w:tplc="AAF60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BB6AB4"/>
    <w:multiLevelType w:val="hybridMultilevel"/>
    <w:tmpl w:val="78B65086"/>
    <w:lvl w:ilvl="0" w:tplc="A04AACD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33F78AA"/>
    <w:multiLevelType w:val="hybridMultilevel"/>
    <w:tmpl w:val="CC1CE3F4"/>
    <w:lvl w:ilvl="0" w:tplc="5A76F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A76CB7"/>
    <w:multiLevelType w:val="hybridMultilevel"/>
    <w:tmpl w:val="FB963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5B7549"/>
    <w:multiLevelType w:val="hybridMultilevel"/>
    <w:tmpl w:val="92044A26"/>
    <w:lvl w:ilvl="0" w:tplc="38E0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047F4"/>
    <w:multiLevelType w:val="hybridMultilevel"/>
    <w:tmpl w:val="5D3A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912238"/>
    <w:multiLevelType w:val="hybridMultilevel"/>
    <w:tmpl w:val="E872F602"/>
    <w:lvl w:ilvl="0" w:tplc="D59A2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FD15A59"/>
    <w:multiLevelType w:val="hybridMultilevel"/>
    <w:tmpl w:val="B31A91E0"/>
    <w:lvl w:ilvl="0" w:tplc="54A2559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32"/>
  </w:num>
  <w:num w:numId="5">
    <w:abstractNumId w:val="8"/>
  </w:num>
  <w:num w:numId="6">
    <w:abstractNumId w:val="17"/>
  </w:num>
  <w:num w:numId="7">
    <w:abstractNumId w:val="16"/>
  </w:num>
  <w:num w:numId="8">
    <w:abstractNumId w:val="33"/>
  </w:num>
  <w:num w:numId="9">
    <w:abstractNumId w:val="20"/>
  </w:num>
  <w:num w:numId="10">
    <w:abstractNumId w:val="29"/>
  </w:num>
  <w:num w:numId="11">
    <w:abstractNumId w:val="34"/>
  </w:num>
  <w:num w:numId="12">
    <w:abstractNumId w:val="35"/>
  </w:num>
  <w:num w:numId="13">
    <w:abstractNumId w:val="24"/>
  </w:num>
  <w:num w:numId="14">
    <w:abstractNumId w:val="22"/>
  </w:num>
  <w:num w:numId="15">
    <w:abstractNumId w:val="1"/>
  </w:num>
  <w:num w:numId="16">
    <w:abstractNumId w:val="28"/>
  </w:num>
  <w:num w:numId="17">
    <w:abstractNumId w:val="2"/>
  </w:num>
  <w:num w:numId="18">
    <w:abstractNumId w:val="30"/>
  </w:num>
  <w:num w:numId="19">
    <w:abstractNumId w:val="26"/>
  </w:num>
  <w:num w:numId="20">
    <w:abstractNumId w:val="15"/>
  </w:num>
  <w:num w:numId="21">
    <w:abstractNumId w:val="36"/>
  </w:num>
  <w:num w:numId="22">
    <w:abstractNumId w:val="11"/>
  </w:num>
  <w:num w:numId="23">
    <w:abstractNumId w:val="4"/>
  </w:num>
  <w:num w:numId="24">
    <w:abstractNumId w:val="21"/>
  </w:num>
  <w:num w:numId="25">
    <w:abstractNumId w:val="19"/>
  </w:num>
  <w:num w:numId="26">
    <w:abstractNumId w:val="0"/>
  </w:num>
  <w:num w:numId="27">
    <w:abstractNumId w:val="31"/>
  </w:num>
  <w:num w:numId="28">
    <w:abstractNumId w:val="3"/>
  </w:num>
  <w:num w:numId="29">
    <w:abstractNumId w:val="38"/>
  </w:num>
  <w:num w:numId="30">
    <w:abstractNumId w:val="23"/>
  </w:num>
  <w:num w:numId="31">
    <w:abstractNumId w:val="12"/>
  </w:num>
  <w:num w:numId="32">
    <w:abstractNumId w:val="18"/>
  </w:num>
  <w:num w:numId="33">
    <w:abstractNumId w:val="27"/>
  </w:num>
  <w:num w:numId="34">
    <w:abstractNumId w:val="10"/>
  </w:num>
  <w:num w:numId="35">
    <w:abstractNumId w:val="25"/>
  </w:num>
  <w:num w:numId="36">
    <w:abstractNumId w:val="37"/>
  </w:num>
  <w:num w:numId="37">
    <w:abstractNumId w:val="5"/>
  </w:num>
  <w:num w:numId="38">
    <w:abstractNumId w:val="7"/>
  </w:num>
  <w:num w:numId="3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89"/>
    <w:rsid w:val="00000EDC"/>
    <w:rsid w:val="00001E93"/>
    <w:rsid w:val="00002A0E"/>
    <w:rsid w:val="00003A36"/>
    <w:rsid w:val="00006379"/>
    <w:rsid w:val="000066E5"/>
    <w:rsid w:val="000068B5"/>
    <w:rsid w:val="00010B91"/>
    <w:rsid w:val="00012DF3"/>
    <w:rsid w:val="00015CC9"/>
    <w:rsid w:val="00020E0E"/>
    <w:rsid w:val="0002436C"/>
    <w:rsid w:val="0002449A"/>
    <w:rsid w:val="000265DF"/>
    <w:rsid w:val="000304A8"/>
    <w:rsid w:val="000323B9"/>
    <w:rsid w:val="00034A79"/>
    <w:rsid w:val="00041A52"/>
    <w:rsid w:val="00045F0E"/>
    <w:rsid w:val="000470C1"/>
    <w:rsid w:val="0004716D"/>
    <w:rsid w:val="000519E3"/>
    <w:rsid w:val="000547AE"/>
    <w:rsid w:val="0005589F"/>
    <w:rsid w:val="00063091"/>
    <w:rsid w:val="00064F78"/>
    <w:rsid w:val="00072A1A"/>
    <w:rsid w:val="00082C16"/>
    <w:rsid w:val="0008385F"/>
    <w:rsid w:val="00085407"/>
    <w:rsid w:val="00087270"/>
    <w:rsid w:val="00095602"/>
    <w:rsid w:val="000A0C7B"/>
    <w:rsid w:val="000A19A7"/>
    <w:rsid w:val="000A3761"/>
    <w:rsid w:val="000A4334"/>
    <w:rsid w:val="000A52B3"/>
    <w:rsid w:val="000A5AE2"/>
    <w:rsid w:val="000A73CA"/>
    <w:rsid w:val="000B4997"/>
    <w:rsid w:val="000B6C25"/>
    <w:rsid w:val="000C55B8"/>
    <w:rsid w:val="000D3586"/>
    <w:rsid w:val="000D7612"/>
    <w:rsid w:val="000E0E76"/>
    <w:rsid w:val="000E2D53"/>
    <w:rsid w:val="000E369B"/>
    <w:rsid w:val="000E6C53"/>
    <w:rsid w:val="000F476E"/>
    <w:rsid w:val="000F7DB4"/>
    <w:rsid w:val="0010090C"/>
    <w:rsid w:val="00102645"/>
    <w:rsid w:val="00102931"/>
    <w:rsid w:val="00103261"/>
    <w:rsid w:val="00106606"/>
    <w:rsid w:val="00107EAB"/>
    <w:rsid w:val="001100A4"/>
    <w:rsid w:val="00115ADD"/>
    <w:rsid w:val="00116955"/>
    <w:rsid w:val="00117655"/>
    <w:rsid w:val="001306C0"/>
    <w:rsid w:val="001320CF"/>
    <w:rsid w:val="00133391"/>
    <w:rsid w:val="00134BFA"/>
    <w:rsid w:val="00136FFD"/>
    <w:rsid w:val="0013782F"/>
    <w:rsid w:val="00140F7D"/>
    <w:rsid w:val="00141B76"/>
    <w:rsid w:val="00146148"/>
    <w:rsid w:val="001540D4"/>
    <w:rsid w:val="001608A6"/>
    <w:rsid w:val="00161164"/>
    <w:rsid w:val="0016215B"/>
    <w:rsid w:val="00165398"/>
    <w:rsid w:val="00165FB6"/>
    <w:rsid w:val="0017013C"/>
    <w:rsid w:val="00171782"/>
    <w:rsid w:val="00174384"/>
    <w:rsid w:val="00174634"/>
    <w:rsid w:val="001820A4"/>
    <w:rsid w:val="00185446"/>
    <w:rsid w:val="001862A6"/>
    <w:rsid w:val="001869E7"/>
    <w:rsid w:val="0019217E"/>
    <w:rsid w:val="00194743"/>
    <w:rsid w:val="00196581"/>
    <w:rsid w:val="0019683D"/>
    <w:rsid w:val="001A12DC"/>
    <w:rsid w:val="001A4895"/>
    <w:rsid w:val="001A4A33"/>
    <w:rsid w:val="001A624E"/>
    <w:rsid w:val="001A71D4"/>
    <w:rsid w:val="001B19EA"/>
    <w:rsid w:val="001B5940"/>
    <w:rsid w:val="001B72B0"/>
    <w:rsid w:val="001C02FD"/>
    <w:rsid w:val="001C1959"/>
    <w:rsid w:val="001C6F49"/>
    <w:rsid w:val="001C7A40"/>
    <w:rsid w:val="001D1C3A"/>
    <w:rsid w:val="001D58AE"/>
    <w:rsid w:val="001D5B1C"/>
    <w:rsid w:val="001E2A1D"/>
    <w:rsid w:val="001E606A"/>
    <w:rsid w:val="001E6AEC"/>
    <w:rsid w:val="001F004B"/>
    <w:rsid w:val="001F300C"/>
    <w:rsid w:val="001F4778"/>
    <w:rsid w:val="001F47A4"/>
    <w:rsid w:val="001F49A4"/>
    <w:rsid w:val="00200D35"/>
    <w:rsid w:val="002043CA"/>
    <w:rsid w:val="00206F5B"/>
    <w:rsid w:val="0020735D"/>
    <w:rsid w:val="002074C0"/>
    <w:rsid w:val="0021275C"/>
    <w:rsid w:val="00213F71"/>
    <w:rsid w:val="00216618"/>
    <w:rsid w:val="00220622"/>
    <w:rsid w:val="0022210B"/>
    <w:rsid w:val="00222DD4"/>
    <w:rsid w:val="002259F8"/>
    <w:rsid w:val="0022797A"/>
    <w:rsid w:val="00230179"/>
    <w:rsid w:val="00233835"/>
    <w:rsid w:val="00235F0E"/>
    <w:rsid w:val="00237FD1"/>
    <w:rsid w:val="00241332"/>
    <w:rsid w:val="00241348"/>
    <w:rsid w:val="00242454"/>
    <w:rsid w:val="00250DEE"/>
    <w:rsid w:val="002717B1"/>
    <w:rsid w:val="00272029"/>
    <w:rsid w:val="00276442"/>
    <w:rsid w:val="00276EF7"/>
    <w:rsid w:val="00280D64"/>
    <w:rsid w:val="00281BEB"/>
    <w:rsid w:val="00283F8B"/>
    <w:rsid w:val="002908A7"/>
    <w:rsid w:val="002926F4"/>
    <w:rsid w:val="0029283E"/>
    <w:rsid w:val="0029288D"/>
    <w:rsid w:val="00292AC6"/>
    <w:rsid w:val="002962C4"/>
    <w:rsid w:val="002A1F41"/>
    <w:rsid w:val="002A3273"/>
    <w:rsid w:val="002A6556"/>
    <w:rsid w:val="002A7439"/>
    <w:rsid w:val="002A7A41"/>
    <w:rsid w:val="002B0952"/>
    <w:rsid w:val="002B0FDA"/>
    <w:rsid w:val="002B2DE1"/>
    <w:rsid w:val="002B3E26"/>
    <w:rsid w:val="002B643A"/>
    <w:rsid w:val="002B6A7D"/>
    <w:rsid w:val="002B78F9"/>
    <w:rsid w:val="002C5923"/>
    <w:rsid w:val="002C5BB4"/>
    <w:rsid w:val="002C76EE"/>
    <w:rsid w:val="002D2F07"/>
    <w:rsid w:val="002D6A71"/>
    <w:rsid w:val="002E21E7"/>
    <w:rsid w:val="002E3B79"/>
    <w:rsid w:val="002E4A40"/>
    <w:rsid w:val="002E6B07"/>
    <w:rsid w:val="002F70EF"/>
    <w:rsid w:val="00303D88"/>
    <w:rsid w:val="0030491A"/>
    <w:rsid w:val="00306C38"/>
    <w:rsid w:val="00306D15"/>
    <w:rsid w:val="00310E68"/>
    <w:rsid w:val="003127D3"/>
    <w:rsid w:val="00313460"/>
    <w:rsid w:val="0031536C"/>
    <w:rsid w:val="00317744"/>
    <w:rsid w:val="00317ECB"/>
    <w:rsid w:val="00323050"/>
    <w:rsid w:val="003312B8"/>
    <w:rsid w:val="0033478E"/>
    <w:rsid w:val="00337CE5"/>
    <w:rsid w:val="003409EA"/>
    <w:rsid w:val="00342252"/>
    <w:rsid w:val="003443F0"/>
    <w:rsid w:val="00344EAE"/>
    <w:rsid w:val="00352982"/>
    <w:rsid w:val="00353F6C"/>
    <w:rsid w:val="003540CF"/>
    <w:rsid w:val="00354844"/>
    <w:rsid w:val="00356328"/>
    <w:rsid w:val="003621B9"/>
    <w:rsid w:val="00364FEC"/>
    <w:rsid w:val="0037107E"/>
    <w:rsid w:val="00374413"/>
    <w:rsid w:val="0037625F"/>
    <w:rsid w:val="003839F4"/>
    <w:rsid w:val="003875A9"/>
    <w:rsid w:val="00387E0A"/>
    <w:rsid w:val="00391BE4"/>
    <w:rsid w:val="00394619"/>
    <w:rsid w:val="00396976"/>
    <w:rsid w:val="00397640"/>
    <w:rsid w:val="003A211F"/>
    <w:rsid w:val="003A5440"/>
    <w:rsid w:val="003A7859"/>
    <w:rsid w:val="003A7AD8"/>
    <w:rsid w:val="003B0891"/>
    <w:rsid w:val="003B524C"/>
    <w:rsid w:val="003B61D0"/>
    <w:rsid w:val="003B63B1"/>
    <w:rsid w:val="003C091D"/>
    <w:rsid w:val="003C1314"/>
    <w:rsid w:val="003C3116"/>
    <w:rsid w:val="003C6422"/>
    <w:rsid w:val="003D1901"/>
    <w:rsid w:val="003E2B08"/>
    <w:rsid w:val="003F0CBB"/>
    <w:rsid w:val="003F3A5D"/>
    <w:rsid w:val="003F5FB6"/>
    <w:rsid w:val="00400847"/>
    <w:rsid w:val="00403CC7"/>
    <w:rsid w:val="00404557"/>
    <w:rsid w:val="004066C6"/>
    <w:rsid w:val="0040696C"/>
    <w:rsid w:val="00410C1E"/>
    <w:rsid w:val="00415000"/>
    <w:rsid w:val="0041524F"/>
    <w:rsid w:val="00420979"/>
    <w:rsid w:val="00421559"/>
    <w:rsid w:val="00423CDB"/>
    <w:rsid w:val="00433BDE"/>
    <w:rsid w:val="00435368"/>
    <w:rsid w:val="0043786F"/>
    <w:rsid w:val="00440053"/>
    <w:rsid w:val="00442E5E"/>
    <w:rsid w:val="00444D4E"/>
    <w:rsid w:val="004459BD"/>
    <w:rsid w:val="00451F61"/>
    <w:rsid w:val="00456294"/>
    <w:rsid w:val="0046122E"/>
    <w:rsid w:val="00462ADF"/>
    <w:rsid w:val="00463C99"/>
    <w:rsid w:val="00467B82"/>
    <w:rsid w:val="00471DBC"/>
    <w:rsid w:val="00474E4C"/>
    <w:rsid w:val="00482573"/>
    <w:rsid w:val="004905D0"/>
    <w:rsid w:val="00497731"/>
    <w:rsid w:val="004A25FF"/>
    <w:rsid w:val="004B2490"/>
    <w:rsid w:val="004B7C98"/>
    <w:rsid w:val="004C0DF1"/>
    <w:rsid w:val="004C0EB3"/>
    <w:rsid w:val="004C4C5A"/>
    <w:rsid w:val="004D4798"/>
    <w:rsid w:val="004D51FA"/>
    <w:rsid w:val="004D5B13"/>
    <w:rsid w:val="004D77E0"/>
    <w:rsid w:val="004D7D6D"/>
    <w:rsid w:val="004E1722"/>
    <w:rsid w:val="004E249F"/>
    <w:rsid w:val="004F251D"/>
    <w:rsid w:val="004F31B1"/>
    <w:rsid w:val="004F36F7"/>
    <w:rsid w:val="004F412F"/>
    <w:rsid w:val="0050033A"/>
    <w:rsid w:val="005019B3"/>
    <w:rsid w:val="00502464"/>
    <w:rsid w:val="00504E37"/>
    <w:rsid w:val="00505E4E"/>
    <w:rsid w:val="00507DEA"/>
    <w:rsid w:val="00510027"/>
    <w:rsid w:val="00513C3F"/>
    <w:rsid w:val="005145A1"/>
    <w:rsid w:val="0052018F"/>
    <w:rsid w:val="005221C7"/>
    <w:rsid w:val="00523DF9"/>
    <w:rsid w:val="0052625A"/>
    <w:rsid w:val="00530BB8"/>
    <w:rsid w:val="00531483"/>
    <w:rsid w:val="00534CF9"/>
    <w:rsid w:val="00535536"/>
    <w:rsid w:val="005410E5"/>
    <w:rsid w:val="005417D8"/>
    <w:rsid w:val="00541A92"/>
    <w:rsid w:val="00541F34"/>
    <w:rsid w:val="0054227A"/>
    <w:rsid w:val="005427F4"/>
    <w:rsid w:val="00543DC2"/>
    <w:rsid w:val="0054452B"/>
    <w:rsid w:val="00544FFB"/>
    <w:rsid w:val="0055182C"/>
    <w:rsid w:val="005525D2"/>
    <w:rsid w:val="005543D0"/>
    <w:rsid w:val="00560E58"/>
    <w:rsid w:val="00563977"/>
    <w:rsid w:val="0056454A"/>
    <w:rsid w:val="00566F34"/>
    <w:rsid w:val="00567C71"/>
    <w:rsid w:val="00567E17"/>
    <w:rsid w:val="0057024D"/>
    <w:rsid w:val="00575D63"/>
    <w:rsid w:val="005771C3"/>
    <w:rsid w:val="00580FED"/>
    <w:rsid w:val="00581950"/>
    <w:rsid w:val="00583948"/>
    <w:rsid w:val="00584E22"/>
    <w:rsid w:val="005903F8"/>
    <w:rsid w:val="00594BEB"/>
    <w:rsid w:val="005977A5"/>
    <w:rsid w:val="005A1298"/>
    <w:rsid w:val="005A44F8"/>
    <w:rsid w:val="005A462D"/>
    <w:rsid w:val="005A5A78"/>
    <w:rsid w:val="005A6BAC"/>
    <w:rsid w:val="005B0CFE"/>
    <w:rsid w:val="005B0D64"/>
    <w:rsid w:val="005B23F4"/>
    <w:rsid w:val="005B365D"/>
    <w:rsid w:val="005B52AA"/>
    <w:rsid w:val="005B55D4"/>
    <w:rsid w:val="005C1BF0"/>
    <w:rsid w:val="005C46FC"/>
    <w:rsid w:val="005C61E0"/>
    <w:rsid w:val="005C7E00"/>
    <w:rsid w:val="005D2013"/>
    <w:rsid w:val="005D30A4"/>
    <w:rsid w:val="005D3FAC"/>
    <w:rsid w:val="005D4E22"/>
    <w:rsid w:val="005D56AD"/>
    <w:rsid w:val="005D6685"/>
    <w:rsid w:val="005D69A2"/>
    <w:rsid w:val="005E0361"/>
    <w:rsid w:val="005E0A71"/>
    <w:rsid w:val="005E186B"/>
    <w:rsid w:val="005E1FD9"/>
    <w:rsid w:val="005E2CF2"/>
    <w:rsid w:val="005E4F3E"/>
    <w:rsid w:val="005E5FC5"/>
    <w:rsid w:val="005E6504"/>
    <w:rsid w:val="005E7092"/>
    <w:rsid w:val="005E7CC5"/>
    <w:rsid w:val="005F4142"/>
    <w:rsid w:val="005F5631"/>
    <w:rsid w:val="005F5F5D"/>
    <w:rsid w:val="005F76A3"/>
    <w:rsid w:val="00603A63"/>
    <w:rsid w:val="006044DC"/>
    <w:rsid w:val="00606D76"/>
    <w:rsid w:val="006140D5"/>
    <w:rsid w:val="00615159"/>
    <w:rsid w:val="00616C77"/>
    <w:rsid w:val="00617CBA"/>
    <w:rsid w:val="00624BE8"/>
    <w:rsid w:val="00626D42"/>
    <w:rsid w:val="006306E0"/>
    <w:rsid w:val="00633BBB"/>
    <w:rsid w:val="00634C04"/>
    <w:rsid w:val="00637976"/>
    <w:rsid w:val="006404EA"/>
    <w:rsid w:val="00642A96"/>
    <w:rsid w:val="00646787"/>
    <w:rsid w:val="00646D01"/>
    <w:rsid w:val="00650BC0"/>
    <w:rsid w:val="00651ABF"/>
    <w:rsid w:val="00651ED4"/>
    <w:rsid w:val="00652E6B"/>
    <w:rsid w:val="006660EB"/>
    <w:rsid w:val="00667DB4"/>
    <w:rsid w:val="00670F9E"/>
    <w:rsid w:val="0067249B"/>
    <w:rsid w:val="00673FD1"/>
    <w:rsid w:val="00685088"/>
    <w:rsid w:val="00686A4D"/>
    <w:rsid w:val="0069221D"/>
    <w:rsid w:val="0069364E"/>
    <w:rsid w:val="00693669"/>
    <w:rsid w:val="00694409"/>
    <w:rsid w:val="006954E2"/>
    <w:rsid w:val="00696669"/>
    <w:rsid w:val="006A1161"/>
    <w:rsid w:val="006A4669"/>
    <w:rsid w:val="006A56E4"/>
    <w:rsid w:val="006A7A16"/>
    <w:rsid w:val="006B21CE"/>
    <w:rsid w:val="006B24DB"/>
    <w:rsid w:val="006B6358"/>
    <w:rsid w:val="006B6CA2"/>
    <w:rsid w:val="006C2344"/>
    <w:rsid w:val="006C5834"/>
    <w:rsid w:val="006C6043"/>
    <w:rsid w:val="006E5B92"/>
    <w:rsid w:val="006F0F71"/>
    <w:rsid w:val="0070105A"/>
    <w:rsid w:val="0071748E"/>
    <w:rsid w:val="007246D8"/>
    <w:rsid w:val="007257CA"/>
    <w:rsid w:val="0073021E"/>
    <w:rsid w:val="00732F64"/>
    <w:rsid w:val="007348EC"/>
    <w:rsid w:val="00735532"/>
    <w:rsid w:val="007362E0"/>
    <w:rsid w:val="00743744"/>
    <w:rsid w:val="007442B8"/>
    <w:rsid w:val="00747371"/>
    <w:rsid w:val="00753D08"/>
    <w:rsid w:val="00755349"/>
    <w:rsid w:val="007620C0"/>
    <w:rsid w:val="00763AD5"/>
    <w:rsid w:val="00763C0B"/>
    <w:rsid w:val="0076430B"/>
    <w:rsid w:val="00767081"/>
    <w:rsid w:val="007676CD"/>
    <w:rsid w:val="00770472"/>
    <w:rsid w:val="00771A30"/>
    <w:rsid w:val="00774347"/>
    <w:rsid w:val="00775205"/>
    <w:rsid w:val="0078260E"/>
    <w:rsid w:val="007847C0"/>
    <w:rsid w:val="0079062D"/>
    <w:rsid w:val="00790AE0"/>
    <w:rsid w:val="0079155A"/>
    <w:rsid w:val="00792F26"/>
    <w:rsid w:val="007937BC"/>
    <w:rsid w:val="0079502A"/>
    <w:rsid w:val="00796731"/>
    <w:rsid w:val="00797B10"/>
    <w:rsid w:val="007A4CAE"/>
    <w:rsid w:val="007A4FB8"/>
    <w:rsid w:val="007B5E8F"/>
    <w:rsid w:val="007B6305"/>
    <w:rsid w:val="007B7318"/>
    <w:rsid w:val="007C0C46"/>
    <w:rsid w:val="007C1D1D"/>
    <w:rsid w:val="007C5683"/>
    <w:rsid w:val="007C6A8C"/>
    <w:rsid w:val="007D103F"/>
    <w:rsid w:val="007D1EB9"/>
    <w:rsid w:val="007D2E0A"/>
    <w:rsid w:val="007D42F1"/>
    <w:rsid w:val="007D4C80"/>
    <w:rsid w:val="007D4F01"/>
    <w:rsid w:val="007D7506"/>
    <w:rsid w:val="007E0FE4"/>
    <w:rsid w:val="007E43BF"/>
    <w:rsid w:val="007E4678"/>
    <w:rsid w:val="007F15A9"/>
    <w:rsid w:val="007F23BD"/>
    <w:rsid w:val="007F2918"/>
    <w:rsid w:val="007F2A9D"/>
    <w:rsid w:val="007F3F41"/>
    <w:rsid w:val="007F5520"/>
    <w:rsid w:val="007F7876"/>
    <w:rsid w:val="008025DA"/>
    <w:rsid w:val="008042C8"/>
    <w:rsid w:val="00807E74"/>
    <w:rsid w:val="00810FCC"/>
    <w:rsid w:val="00811132"/>
    <w:rsid w:val="0081208D"/>
    <w:rsid w:val="008136B8"/>
    <w:rsid w:val="0081438E"/>
    <w:rsid w:val="00816216"/>
    <w:rsid w:val="00821EE3"/>
    <w:rsid w:val="0082265D"/>
    <w:rsid w:val="00823BFD"/>
    <w:rsid w:val="00824A03"/>
    <w:rsid w:val="00825225"/>
    <w:rsid w:val="008262BC"/>
    <w:rsid w:val="008279F1"/>
    <w:rsid w:val="00833450"/>
    <w:rsid w:val="00835A24"/>
    <w:rsid w:val="00843AF4"/>
    <w:rsid w:val="00844305"/>
    <w:rsid w:val="00844674"/>
    <w:rsid w:val="00845636"/>
    <w:rsid w:val="0084658B"/>
    <w:rsid w:val="00850257"/>
    <w:rsid w:val="0085105E"/>
    <w:rsid w:val="008528D3"/>
    <w:rsid w:val="0085398C"/>
    <w:rsid w:val="00855DEF"/>
    <w:rsid w:val="00857218"/>
    <w:rsid w:val="00857BB7"/>
    <w:rsid w:val="00857EA1"/>
    <w:rsid w:val="00860023"/>
    <w:rsid w:val="0086623A"/>
    <w:rsid w:val="00872391"/>
    <w:rsid w:val="00873E89"/>
    <w:rsid w:val="008748A6"/>
    <w:rsid w:val="008753AD"/>
    <w:rsid w:val="00875726"/>
    <w:rsid w:val="00887506"/>
    <w:rsid w:val="008904FB"/>
    <w:rsid w:val="00890884"/>
    <w:rsid w:val="00891A27"/>
    <w:rsid w:val="00891FCF"/>
    <w:rsid w:val="00892D6E"/>
    <w:rsid w:val="0089527A"/>
    <w:rsid w:val="00896D1A"/>
    <w:rsid w:val="008B140A"/>
    <w:rsid w:val="008B1943"/>
    <w:rsid w:val="008B19E6"/>
    <w:rsid w:val="008B1D59"/>
    <w:rsid w:val="008B6319"/>
    <w:rsid w:val="008C1F53"/>
    <w:rsid w:val="008C3826"/>
    <w:rsid w:val="008C48E6"/>
    <w:rsid w:val="008C68B0"/>
    <w:rsid w:val="008D0372"/>
    <w:rsid w:val="008D087B"/>
    <w:rsid w:val="008D0DCA"/>
    <w:rsid w:val="008D265A"/>
    <w:rsid w:val="008D44D9"/>
    <w:rsid w:val="008D4A10"/>
    <w:rsid w:val="008E20B3"/>
    <w:rsid w:val="008E71BB"/>
    <w:rsid w:val="008E793F"/>
    <w:rsid w:val="008F15DD"/>
    <w:rsid w:val="008F2CB3"/>
    <w:rsid w:val="008F3B99"/>
    <w:rsid w:val="008F7DE0"/>
    <w:rsid w:val="00905D0D"/>
    <w:rsid w:val="00907672"/>
    <w:rsid w:val="00916725"/>
    <w:rsid w:val="009169D9"/>
    <w:rsid w:val="00916F73"/>
    <w:rsid w:val="009202EC"/>
    <w:rsid w:val="0092224D"/>
    <w:rsid w:val="00923D89"/>
    <w:rsid w:val="009246B9"/>
    <w:rsid w:val="009247F9"/>
    <w:rsid w:val="00927472"/>
    <w:rsid w:val="00930C3A"/>
    <w:rsid w:val="00931F5C"/>
    <w:rsid w:val="009329A8"/>
    <w:rsid w:val="00934FF1"/>
    <w:rsid w:val="00941488"/>
    <w:rsid w:val="009453D5"/>
    <w:rsid w:val="00947849"/>
    <w:rsid w:val="00955878"/>
    <w:rsid w:val="009566DF"/>
    <w:rsid w:val="00956EE7"/>
    <w:rsid w:val="00960952"/>
    <w:rsid w:val="009624C7"/>
    <w:rsid w:val="00962762"/>
    <w:rsid w:val="00962F7C"/>
    <w:rsid w:val="0096324D"/>
    <w:rsid w:val="0096399C"/>
    <w:rsid w:val="00963C1F"/>
    <w:rsid w:val="00965ECC"/>
    <w:rsid w:val="009664BB"/>
    <w:rsid w:val="00972259"/>
    <w:rsid w:val="009727F3"/>
    <w:rsid w:val="00972D6D"/>
    <w:rsid w:val="0097492B"/>
    <w:rsid w:val="00974CAB"/>
    <w:rsid w:val="00983E7F"/>
    <w:rsid w:val="00984062"/>
    <w:rsid w:val="0098773D"/>
    <w:rsid w:val="009955A3"/>
    <w:rsid w:val="00995EE8"/>
    <w:rsid w:val="00995F9C"/>
    <w:rsid w:val="009978FE"/>
    <w:rsid w:val="009A0218"/>
    <w:rsid w:val="009A5ECB"/>
    <w:rsid w:val="009A7862"/>
    <w:rsid w:val="009B70FB"/>
    <w:rsid w:val="009C0855"/>
    <w:rsid w:val="009C412D"/>
    <w:rsid w:val="009C5837"/>
    <w:rsid w:val="009D66CB"/>
    <w:rsid w:val="009E5373"/>
    <w:rsid w:val="009E5B45"/>
    <w:rsid w:val="009E624D"/>
    <w:rsid w:val="009E70F8"/>
    <w:rsid w:val="009F0B6B"/>
    <w:rsid w:val="009F1225"/>
    <w:rsid w:val="009F131B"/>
    <w:rsid w:val="009F79BC"/>
    <w:rsid w:val="00A0135A"/>
    <w:rsid w:val="00A027CD"/>
    <w:rsid w:val="00A12125"/>
    <w:rsid w:val="00A20EBD"/>
    <w:rsid w:val="00A2131F"/>
    <w:rsid w:val="00A2184B"/>
    <w:rsid w:val="00A248D9"/>
    <w:rsid w:val="00A25403"/>
    <w:rsid w:val="00A2599C"/>
    <w:rsid w:val="00A30748"/>
    <w:rsid w:val="00A34821"/>
    <w:rsid w:val="00A4365B"/>
    <w:rsid w:val="00A43EDF"/>
    <w:rsid w:val="00A44E9B"/>
    <w:rsid w:val="00A459C3"/>
    <w:rsid w:val="00A478FA"/>
    <w:rsid w:val="00A53D33"/>
    <w:rsid w:val="00A54B95"/>
    <w:rsid w:val="00A5779C"/>
    <w:rsid w:val="00A607EF"/>
    <w:rsid w:val="00A607F7"/>
    <w:rsid w:val="00A60D0C"/>
    <w:rsid w:val="00A6760A"/>
    <w:rsid w:val="00A70221"/>
    <w:rsid w:val="00A720FD"/>
    <w:rsid w:val="00A74799"/>
    <w:rsid w:val="00A7536E"/>
    <w:rsid w:val="00A76B30"/>
    <w:rsid w:val="00A866D1"/>
    <w:rsid w:val="00A91675"/>
    <w:rsid w:val="00A92A7E"/>
    <w:rsid w:val="00A9364F"/>
    <w:rsid w:val="00A95BC7"/>
    <w:rsid w:val="00A972E0"/>
    <w:rsid w:val="00A97D10"/>
    <w:rsid w:val="00AA2049"/>
    <w:rsid w:val="00AA32C5"/>
    <w:rsid w:val="00AA611C"/>
    <w:rsid w:val="00AA7C6A"/>
    <w:rsid w:val="00AB0590"/>
    <w:rsid w:val="00AB0BB4"/>
    <w:rsid w:val="00AB33B8"/>
    <w:rsid w:val="00AB5686"/>
    <w:rsid w:val="00AC2B27"/>
    <w:rsid w:val="00AC2C44"/>
    <w:rsid w:val="00AC600B"/>
    <w:rsid w:val="00AC757E"/>
    <w:rsid w:val="00AD03FE"/>
    <w:rsid w:val="00AD0DDD"/>
    <w:rsid w:val="00AD1AAB"/>
    <w:rsid w:val="00AD3022"/>
    <w:rsid w:val="00AD774E"/>
    <w:rsid w:val="00AE0A17"/>
    <w:rsid w:val="00AE1044"/>
    <w:rsid w:val="00AE38DF"/>
    <w:rsid w:val="00AE48B0"/>
    <w:rsid w:val="00AF38EA"/>
    <w:rsid w:val="00AF3A81"/>
    <w:rsid w:val="00AF4D7A"/>
    <w:rsid w:val="00AF62C9"/>
    <w:rsid w:val="00AF7343"/>
    <w:rsid w:val="00B07586"/>
    <w:rsid w:val="00B10C87"/>
    <w:rsid w:val="00B12F82"/>
    <w:rsid w:val="00B14D98"/>
    <w:rsid w:val="00B17870"/>
    <w:rsid w:val="00B236D3"/>
    <w:rsid w:val="00B23ECD"/>
    <w:rsid w:val="00B279F5"/>
    <w:rsid w:val="00B30B68"/>
    <w:rsid w:val="00B30CF7"/>
    <w:rsid w:val="00B31D33"/>
    <w:rsid w:val="00B36B3F"/>
    <w:rsid w:val="00B36C3B"/>
    <w:rsid w:val="00B37D11"/>
    <w:rsid w:val="00B37DBB"/>
    <w:rsid w:val="00B40929"/>
    <w:rsid w:val="00B42BC7"/>
    <w:rsid w:val="00B43581"/>
    <w:rsid w:val="00B52B20"/>
    <w:rsid w:val="00B56055"/>
    <w:rsid w:val="00B56F12"/>
    <w:rsid w:val="00B64A66"/>
    <w:rsid w:val="00B70678"/>
    <w:rsid w:val="00B727CC"/>
    <w:rsid w:val="00B727FF"/>
    <w:rsid w:val="00B80D08"/>
    <w:rsid w:val="00B84311"/>
    <w:rsid w:val="00B90B77"/>
    <w:rsid w:val="00B92B6C"/>
    <w:rsid w:val="00B93A30"/>
    <w:rsid w:val="00BA04B8"/>
    <w:rsid w:val="00BA0B0D"/>
    <w:rsid w:val="00BA4151"/>
    <w:rsid w:val="00BA6147"/>
    <w:rsid w:val="00BA682B"/>
    <w:rsid w:val="00BB0218"/>
    <w:rsid w:val="00BB32AD"/>
    <w:rsid w:val="00BC1ACC"/>
    <w:rsid w:val="00BC2BFD"/>
    <w:rsid w:val="00BC4A12"/>
    <w:rsid w:val="00BC4B77"/>
    <w:rsid w:val="00BC6E8D"/>
    <w:rsid w:val="00BC7BE2"/>
    <w:rsid w:val="00BC7C51"/>
    <w:rsid w:val="00BD205C"/>
    <w:rsid w:val="00BD2B52"/>
    <w:rsid w:val="00BD4059"/>
    <w:rsid w:val="00BD6A02"/>
    <w:rsid w:val="00BD75EB"/>
    <w:rsid w:val="00BE0F13"/>
    <w:rsid w:val="00BE22F2"/>
    <w:rsid w:val="00BE7D53"/>
    <w:rsid w:val="00BF4C8A"/>
    <w:rsid w:val="00C07743"/>
    <w:rsid w:val="00C11B2B"/>
    <w:rsid w:val="00C12811"/>
    <w:rsid w:val="00C166FD"/>
    <w:rsid w:val="00C20252"/>
    <w:rsid w:val="00C22F70"/>
    <w:rsid w:val="00C237D2"/>
    <w:rsid w:val="00C27699"/>
    <w:rsid w:val="00C31165"/>
    <w:rsid w:val="00C31C6F"/>
    <w:rsid w:val="00C3291E"/>
    <w:rsid w:val="00C32D1F"/>
    <w:rsid w:val="00C342AD"/>
    <w:rsid w:val="00C363FD"/>
    <w:rsid w:val="00C375EC"/>
    <w:rsid w:val="00C45602"/>
    <w:rsid w:val="00C45C2B"/>
    <w:rsid w:val="00C52028"/>
    <w:rsid w:val="00C52A34"/>
    <w:rsid w:val="00C634C5"/>
    <w:rsid w:val="00C65DB0"/>
    <w:rsid w:val="00C665E2"/>
    <w:rsid w:val="00C66ADA"/>
    <w:rsid w:val="00C711E1"/>
    <w:rsid w:val="00C71D37"/>
    <w:rsid w:val="00C74C55"/>
    <w:rsid w:val="00C765E9"/>
    <w:rsid w:val="00C76B1E"/>
    <w:rsid w:val="00C76CF8"/>
    <w:rsid w:val="00C80AE4"/>
    <w:rsid w:val="00C8191B"/>
    <w:rsid w:val="00C83F3E"/>
    <w:rsid w:val="00C842DE"/>
    <w:rsid w:val="00C8454D"/>
    <w:rsid w:val="00C862E9"/>
    <w:rsid w:val="00C87323"/>
    <w:rsid w:val="00C90D50"/>
    <w:rsid w:val="00C90D72"/>
    <w:rsid w:val="00C91A36"/>
    <w:rsid w:val="00C947F4"/>
    <w:rsid w:val="00C97BBD"/>
    <w:rsid w:val="00CA6A00"/>
    <w:rsid w:val="00CB12EA"/>
    <w:rsid w:val="00CB1372"/>
    <w:rsid w:val="00CB1888"/>
    <w:rsid w:val="00CB374E"/>
    <w:rsid w:val="00CB6BB3"/>
    <w:rsid w:val="00CC3753"/>
    <w:rsid w:val="00CC500C"/>
    <w:rsid w:val="00CD0871"/>
    <w:rsid w:val="00CD48C7"/>
    <w:rsid w:val="00CD6231"/>
    <w:rsid w:val="00CE51CF"/>
    <w:rsid w:val="00CF1180"/>
    <w:rsid w:val="00CF4433"/>
    <w:rsid w:val="00CF4AEC"/>
    <w:rsid w:val="00CF5166"/>
    <w:rsid w:val="00CF55B2"/>
    <w:rsid w:val="00CF6AFF"/>
    <w:rsid w:val="00D04DDB"/>
    <w:rsid w:val="00D06992"/>
    <w:rsid w:val="00D1031C"/>
    <w:rsid w:val="00D107EF"/>
    <w:rsid w:val="00D120D4"/>
    <w:rsid w:val="00D1368C"/>
    <w:rsid w:val="00D140C5"/>
    <w:rsid w:val="00D14D07"/>
    <w:rsid w:val="00D1657B"/>
    <w:rsid w:val="00D16DD2"/>
    <w:rsid w:val="00D20A2F"/>
    <w:rsid w:val="00D268D8"/>
    <w:rsid w:val="00D31764"/>
    <w:rsid w:val="00D31876"/>
    <w:rsid w:val="00D37456"/>
    <w:rsid w:val="00D378D2"/>
    <w:rsid w:val="00D40CC6"/>
    <w:rsid w:val="00D40D3D"/>
    <w:rsid w:val="00D41696"/>
    <w:rsid w:val="00D42CFF"/>
    <w:rsid w:val="00D52071"/>
    <w:rsid w:val="00D53356"/>
    <w:rsid w:val="00D5538A"/>
    <w:rsid w:val="00D571C2"/>
    <w:rsid w:val="00D57A60"/>
    <w:rsid w:val="00D653B1"/>
    <w:rsid w:val="00D6799B"/>
    <w:rsid w:val="00D71604"/>
    <w:rsid w:val="00D73BCB"/>
    <w:rsid w:val="00D81701"/>
    <w:rsid w:val="00D82195"/>
    <w:rsid w:val="00D87027"/>
    <w:rsid w:val="00D9070E"/>
    <w:rsid w:val="00D9084F"/>
    <w:rsid w:val="00D93330"/>
    <w:rsid w:val="00D94B79"/>
    <w:rsid w:val="00D95D37"/>
    <w:rsid w:val="00D95D61"/>
    <w:rsid w:val="00D96964"/>
    <w:rsid w:val="00DA00D0"/>
    <w:rsid w:val="00DA50D0"/>
    <w:rsid w:val="00DB1855"/>
    <w:rsid w:val="00DB3411"/>
    <w:rsid w:val="00DB3BC4"/>
    <w:rsid w:val="00DB62D1"/>
    <w:rsid w:val="00DB7EA7"/>
    <w:rsid w:val="00DC5DF6"/>
    <w:rsid w:val="00DC752D"/>
    <w:rsid w:val="00DD3931"/>
    <w:rsid w:val="00DE1484"/>
    <w:rsid w:val="00DE5918"/>
    <w:rsid w:val="00DE6405"/>
    <w:rsid w:val="00DF0AEE"/>
    <w:rsid w:val="00DF5271"/>
    <w:rsid w:val="00DF69C3"/>
    <w:rsid w:val="00DF7ED7"/>
    <w:rsid w:val="00E05538"/>
    <w:rsid w:val="00E103A5"/>
    <w:rsid w:val="00E1507B"/>
    <w:rsid w:val="00E16568"/>
    <w:rsid w:val="00E22A10"/>
    <w:rsid w:val="00E24A31"/>
    <w:rsid w:val="00E250AC"/>
    <w:rsid w:val="00E263D7"/>
    <w:rsid w:val="00E278C0"/>
    <w:rsid w:val="00E33398"/>
    <w:rsid w:val="00E348AC"/>
    <w:rsid w:val="00E3790C"/>
    <w:rsid w:val="00E4162B"/>
    <w:rsid w:val="00E43D2C"/>
    <w:rsid w:val="00E44C4D"/>
    <w:rsid w:val="00E45D9E"/>
    <w:rsid w:val="00E515D6"/>
    <w:rsid w:val="00E51CC7"/>
    <w:rsid w:val="00E62E13"/>
    <w:rsid w:val="00E63AC4"/>
    <w:rsid w:val="00E64986"/>
    <w:rsid w:val="00E663E8"/>
    <w:rsid w:val="00E7575B"/>
    <w:rsid w:val="00E75ACB"/>
    <w:rsid w:val="00E76D68"/>
    <w:rsid w:val="00E77B7F"/>
    <w:rsid w:val="00E82393"/>
    <w:rsid w:val="00E823FF"/>
    <w:rsid w:val="00E82913"/>
    <w:rsid w:val="00E852F2"/>
    <w:rsid w:val="00E85BDE"/>
    <w:rsid w:val="00E86424"/>
    <w:rsid w:val="00E86B79"/>
    <w:rsid w:val="00E94F1B"/>
    <w:rsid w:val="00E96CB7"/>
    <w:rsid w:val="00E96D2D"/>
    <w:rsid w:val="00E971E7"/>
    <w:rsid w:val="00E97977"/>
    <w:rsid w:val="00EA0865"/>
    <w:rsid w:val="00EA0989"/>
    <w:rsid w:val="00EA2620"/>
    <w:rsid w:val="00EA5502"/>
    <w:rsid w:val="00EA659B"/>
    <w:rsid w:val="00EC238A"/>
    <w:rsid w:val="00EC3EF6"/>
    <w:rsid w:val="00EC51AD"/>
    <w:rsid w:val="00EC63CB"/>
    <w:rsid w:val="00EC76CF"/>
    <w:rsid w:val="00EC7BB7"/>
    <w:rsid w:val="00EC7F1F"/>
    <w:rsid w:val="00EC7FE1"/>
    <w:rsid w:val="00ED1325"/>
    <w:rsid w:val="00EE0E84"/>
    <w:rsid w:val="00EE18BC"/>
    <w:rsid w:val="00EE1CAF"/>
    <w:rsid w:val="00EE3862"/>
    <w:rsid w:val="00EF11F6"/>
    <w:rsid w:val="00EF2394"/>
    <w:rsid w:val="00EF2536"/>
    <w:rsid w:val="00EF2AC6"/>
    <w:rsid w:val="00EF543D"/>
    <w:rsid w:val="00F00C64"/>
    <w:rsid w:val="00F016B9"/>
    <w:rsid w:val="00F01B9F"/>
    <w:rsid w:val="00F027DB"/>
    <w:rsid w:val="00F03D90"/>
    <w:rsid w:val="00F05609"/>
    <w:rsid w:val="00F07701"/>
    <w:rsid w:val="00F10469"/>
    <w:rsid w:val="00F1057F"/>
    <w:rsid w:val="00F14368"/>
    <w:rsid w:val="00F14DD2"/>
    <w:rsid w:val="00F17AB8"/>
    <w:rsid w:val="00F256F0"/>
    <w:rsid w:val="00F2622F"/>
    <w:rsid w:val="00F27CBC"/>
    <w:rsid w:val="00F32BDD"/>
    <w:rsid w:val="00F32FF3"/>
    <w:rsid w:val="00F36B16"/>
    <w:rsid w:val="00F37B5E"/>
    <w:rsid w:val="00F438FD"/>
    <w:rsid w:val="00F44ED6"/>
    <w:rsid w:val="00F47225"/>
    <w:rsid w:val="00F51B0A"/>
    <w:rsid w:val="00F55322"/>
    <w:rsid w:val="00F6086B"/>
    <w:rsid w:val="00F62AEC"/>
    <w:rsid w:val="00F71842"/>
    <w:rsid w:val="00F71E2A"/>
    <w:rsid w:val="00F722A7"/>
    <w:rsid w:val="00F723B9"/>
    <w:rsid w:val="00F73A41"/>
    <w:rsid w:val="00F756C2"/>
    <w:rsid w:val="00F769D9"/>
    <w:rsid w:val="00F83A2E"/>
    <w:rsid w:val="00F84542"/>
    <w:rsid w:val="00F84B93"/>
    <w:rsid w:val="00F928BF"/>
    <w:rsid w:val="00F93118"/>
    <w:rsid w:val="00F932F3"/>
    <w:rsid w:val="00F9596C"/>
    <w:rsid w:val="00F96092"/>
    <w:rsid w:val="00F9647B"/>
    <w:rsid w:val="00FA3607"/>
    <w:rsid w:val="00FA6C3C"/>
    <w:rsid w:val="00FB02D4"/>
    <w:rsid w:val="00FB0CD1"/>
    <w:rsid w:val="00FB1608"/>
    <w:rsid w:val="00FB73C9"/>
    <w:rsid w:val="00FC1C28"/>
    <w:rsid w:val="00FC5736"/>
    <w:rsid w:val="00FD4281"/>
    <w:rsid w:val="00FD6DA3"/>
    <w:rsid w:val="00FE3AFC"/>
    <w:rsid w:val="00FE5176"/>
    <w:rsid w:val="00FE5505"/>
    <w:rsid w:val="00FF1121"/>
    <w:rsid w:val="00FF14A5"/>
    <w:rsid w:val="00FF30C2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F88D"/>
  <w15:chartTrackingRefBased/>
  <w15:docId w15:val="{20B0F19B-3F68-4361-B0B9-48F15C62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5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15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F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20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D205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05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0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0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5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5C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930C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3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3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B6C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49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5D0"/>
  </w:style>
  <w:style w:type="character" w:customStyle="1" w:styleId="style-111">
    <w:name w:val="style-111"/>
    <w:rsid w:val="00A91675"/>
    <w:rPr>
      <w:rFonts w:ascii="Times New Roman" w:hAnsi="Times New Roman" w:cs="Times New Roman" w:hint="default"/>
      <w:sz w:val="22"/>
      <w:szCs w:val="22"/>
    </w:rPr>
  </w:style>
  <w:style w:type="character" w:customStyle="1" w:styleId="style-151">
    <w:name w:val="style-151"/>
    <w:rsid w:val="00A9167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style-161">
    <w:name w:val="style-161"/>
    <w:rsid w:val="00A916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rc1">
    <w:name w:val="src1"/>
    <w:rsid w:val="00020E0E"/>
    <w:rPr>
      <w:vanish w:val="0"/>
      <w:webHidden w:val="0"/>
      <w:specVanish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1C195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0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F1"/>
  </w:style>
  <w:style w:type="character" w:customStyle="1" w:styleId="Heading1Char">
    <w:name w:val="Heading 1 Char"/>
    <w:basedOn w:val="DefaultParagraphFont"/>
    <w:link w:val="Heading1"/>
    <w:uiPriority w:val="9"/>
    <w:rsid w:val="003153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1536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mbic-cenc.org/for-service-members-and-veterans-with-tbi/pain-and-tbi-veteran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i.org/10.1016/j.jpain.2018.03.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2699052.2018.149353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mbic-cenc.org/for-service-members-and-veterans-with-tbi/the-abstract-veterans-tbi-health-and-outcomes-podcas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mbic-cenc.org/for-tbi-clinicians/pain-and-tbi-clinician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William  C   RICVAMC</dc:creator>
  <cp:keywords/>
  <dc:description/>
  <cp:lastModifiedBy>Ronald Seel</cp:lastModifiedBy>
  <cp:revision>6</cp:revision>
  <cp:lastPrinted>2024-04-07T14:49:00Z</cp:lastPrinted>
  <dcterms:created xsi:type="dcterms:W3CDTF">2024-10-24T18:55:00Z</dcterms:created>
  <dcterms:modified xsi:type="dcterms:W3CDTF">2024-10-24T19:09:00Z</dcterms:modified>
</cp:coreProperties>
</file>