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3A20F" w14:textId="77777777" w:rsidR="00D268D8" w:rsidRDefault="00D268D8" w:rsidP="00D268D8">
      <w:pPr>
        <w:spacing w:after="0" w:line="240" w:lineRule="auto"/>
        <w:jc w:val="right"/>
        <w:rPr>
          <w:b/>
          <w:color w:val="003F72"/>
          <w:sz w:val="28"/>
          <w:szCs w:val="28"/>
        </w:rPr>
      </w:pPr>
      <w:r>
        <w:rPr>
          <w:rFonts w:ascii="Arial" w:hAnsi="Arial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BAABF" wp14:editId="2A122B91">
                <wp:simplePos x="0" y="0"/>
                <wp:positionH relativeFrom="margin">
                  <wp:posOffset>2806700</wp:posOffset>
                </wp:positionH>
                <wp:positionV relativeFrom="paragraph">
                  <wp:posOffset>-128905</wp:posOffset>
                </wp:positionV>
                <wp:extent cx="4206240" cy="914400"/>
                <wp:effectExtent l="0" t="0" r="381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EF94F" w14:textId="379088FD" w:rsidR="009F131B" w:rsidRDefault="00D268D8" w:rsidP="00D268D8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</w:pPr>
                            <w:r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LIMBIC-CENC Clinical Care Monograph Version</w:t>
                            </w:r>
                            <w:r w:rsidR="009F131B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 xml:space="preserve"> 2</w:t>
                            </w:r>
                          </w:p>
                          <w:p w14:paraId="6C160ADA" w14:textId="695291CA" w:rsidR="00D268D8" w:rsidRPr="001D5B1C" w:rsidRDefault="009F131B" w:rsidP="00D268D8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B. TBI, Mortality, and Suicide</w:t>
                            </w:r>
                          </w:p>
                          <w:p w14:paraId="24AB44EF" w14:textId="77777777" w:rsidR="00D268D8" w:rsidRPr="001D5B1C" w:rsidRDefault="00D268D8" w:rsidP="00D268D8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sz w:val="24"/>
                                <w:szCs w:val="26"/>
                              </w:rPr>
                              <w:t>from LIMBIC-CENC Knowledge Translation Center (LIMBIC</w:t>
                            </w:r>
                            <w:r w:rsidRPr="001D5B1C">
                              <w:rPr>
                                <w:sz w:val="24"/>
                                <w:szCs w:val="26"/>
                                <w:vertAlign w:val="superscript"/>
                              </w:rPr>
                              <w:t>TM</w:t>
                            </w:r>
                            <w:r w:rsidRPr="001D5B1C">
                              <w:rPr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  <w:p w14:paraId="5980427D" w14:textId="77777777" w:rsidR="00D268D8" w:rsidRPr="001D5B1C" w:rsidRDefault="00D268D8" w:rsidP="00D268D8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sz w:val="24"/>
                                <w:szCs w:val="26"/>
                              </w:rPr>
                              <w:t>April 17, 2024, Richmond, 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BAABF" id="Text Box 13" o:spid="_x0000_s1027" type="#_x0000_t202" style="position:absolute;left:0;text-align:left;margin-left:221pt;margin-top:-10.15pt;width:331.2pt;height:1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" fillcolor="white [3201]" stroked="f" strokeweight=".5pt">
                <v:textbox>
                  <w:txbxContent>
                    <w:p w14:paraId="005EF94F" w14:textId="379088FD" w:rsidR="009F131B" w:rsidRDefault="00D268D8" w:rsidP="00D268D8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8"/>
                          <w:szCs w:val="26"/>
                        </w:rPr>
                      </w:pPr>
                      <w:r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>LIMBIC-CENC Clinical Care Monograph Version</w:t>
                      </w:r>
                      <w:r w:rsidR="009F131B">
                        <w:rPr>
                          <w:b/>
                          <w:color w:val="003F72"/>
                          <w:sz w:val="28"/>
                          <w:szCs w:val="26"/>
                        </w:rPr>
                        <w:t xml:space="preserve"> 2</w:t>
                      </w:r>
                    </w:p>
                    <w:p w14:paraId="6C160ADA" w14:textId="695291CA" w:rsidR="00D268D8" w:rsidRPr="001D5B1C" w:rsidRDefault="009F131B" w:rsidP="00D268D8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color w:val="003F72"/>
                          <w:sz w:val="28"/>
                          <w:szCs w:val="26"/>
                        </w:rPr>
                        <w:t>B. TBI, Mortality, and Suicide</w:t>
                      </w:r>
                    </w:p>
                    <w:p w14:paraId="24AB44EF" w14:textId="77777777" w:rsidR="00D268D8" w:rsidRPr="001D5B1C" w:rsidRDefault="00D268D8" w:rsidP="00D268D8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sz w:val="24"/>
                          <w:szCs w:val="26"/>
                        </w:rPr>
                      </w:pPr>
                      <w:r w:rsidRPr="001D5B1C">
                        <w:rPr>
                          <w:sz w:val="24"/>
                          <w:szCs w:val="26"/>
                        </w:rPr>
                        <w:t>from LIMBIC-CENC Knowledge Translation Center (LIMBIC</w:t>
                      </w:r>
                      <w:r w:rsidRPr="001D5B1C">
                        <w:rPr>
                          <w:sz w:val="24"/>
                          <w:szCs w:val="26"/>
                          <w:vertAlign w:val="superscript"/>
                        </w:rPr>
                        <w:t>TM</w:t>
                      </w:r>
                      <w:r w:rsidRPr="001D5B1C">
                        <w:rPr>
                          <w:sz w:val="24"/>
                          <w:szCs w:val="26"/>
                        </w:rPr>
                        <w:t>)</w:t>
                      </w:r>
                    </w:p>
                    <w:p w14:paraId="5980427D" w14:textId="77777777" w:rsidR="00D268D8" w:rsidRPr="001D5B1C" w:rsidRDefault="00D268D8" w:rsidP="00D268D8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4"/>
                          <w:szCs w:val="26"/>
                        </w:rPr>
                      </w:pPr>
                      <w:r w:rsidRPr="001D5B1C">
                        <w:rPr>
                          <w:sz w:val="24"/>
                          <w:szCs w:val="26"/>
                        </w:rPr>
                        <w:t>April 17, 2024, Richmond, 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99D">
        <w:rPr>
          <w:rFonts w:ascii="Arial" w:hAnsi="Arial"/>
          <w:noProof/>
          <w:color w:val="244061" w:themeColor="accent1" w:themeShade="80"/>
        </w:rPr>
        <w:drawing>
          <wp:anchor distT="0" distB="0" distL="114300" distR="114300" simplePos="0" relativeHeight="251676672" behindDoc="1" locked="0" layoutInCell="1" allowOverlap="0" wp14:anchorId="161E2CC6" wp14:editId="1EA86C44">
            <wp:simplePos x="0" y="0"/>
            <wp:positionH relativeFrom="margin">
              <wp:align>left</wp:align>
            </wp:positionH>
            <wp:positionV relativeFrom="margin">
              <wp:posOffset>-227965</wp:posOffset>
            </wp:positionV>
            <wp:extent cx="2640067" cy="1097280"/>
            <wp:effectExtent l="0" t="0" r="0" b="0"/>
            <wp:wrapTight wrapText="right">
              <wp:wrapPolygon edited="0">
                <wp:start x="1247" y="2250"/>
                <wp:lineTo x="779" y="4125"/>
                <wp:lineTo x="624" y="16875"/>
                <wp:lineTo x="1715" y="18375"/>
                <wp:lineTo x="3118" y="19125"/>
                <wp:lineTo x="4832" y="19125"/>
                <wp:lineTo x="19173" y="18000"/>
                <wp:lineTo x="19953" y="15750"/>
                <wp:lineTo x="18394" y="15000"/>
                <wp:lineTo x="21356" y="9375"/>
                <wp:lineTo x="21356" y="4125"/>
                <wp:lineTo x="21044" y="2250"/>
                <wp:lineTo x="1247" y="225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6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CDB76" w14:textId="77777777" w:rsidR="00D268D8" w:rsidRPr="00394619" w:rsidRDefault="00D268D8" w:rsidP="00D268D8">
      <w:pPr>
        <w:spacing w:after="0" w:line="240" w:lineRule="auto"/>
        <w:jc w:val="right"/>
        <w:rPr>
          <w:b/>
          <w:color w:val="003F72"/>
          <w:sz w:val="28"/>
          <w:szCs w:val="28"/>
        </w:rPr>
      </w:pPr>
    </w:p>
    <w:p w14:paraId="05AC18AF" w14:textId="77777777" w:rsidR="00D268D8" w:rsidRPr="008B6319" w:rsidRDefault="00D268D8" w:rsidP="00D268D8">
      <w:pPr>
        <w:spacing w:after="0" w:line="240" w:lineRule="auto"/>
        <w:jc w:val="right"/>
        <w:rPr>
          <w:sz w:val="24"/>
          <w:szCs w:val="24"/>
        </w:rPr>
      </w:pPr>
    </w:p>
    <w:p w14:paraId="3D3460B6" w14:textId="2A605D61" w:rsidR="00D57A60" w:rsidRDefault="00D57A60" w:rsidP="00EC76CF">
      <w:pPr>
        <w:spacing w:after="0" w:line="240" w:lineRule="auto"/>
        <w:jc w:val="both"/>
        <w:rPr>
          <w:szCs w:val="24"/>
        </w:rPr>
      </w:pPr>
    </w:p>
    <w:p w14:paraId="4DEB2509" w14:textId="77777777" w:rsidR="00D268D8" w:rsidRDefault="00D268D8" w:rsidP="00EC76CF">
      <w:pPr>
        <w:spacing w:after="0" w:line="240" w:lineRule="auto"/>
        <w:jc w:val="both"/>
        <w:rPr>
          <w:szCs w:val="24"/>
        </w:rPr>
      </w:pPr>
    </w:p>
    <w:p w14:paraId="3AE38F1E" w14:textId="7BA8EB3E" w:rsidR="00F55322" w:rsidRPr="00D63265" w:rsidRDefault="00D63265" w:rsidP="00D63265">
      <w:p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003F72"/>
        <w:spacing w:after="120" w:line="240" w:lineRule="auto"/>
        <w:rPr>
          <w:b/>
          <w:color w:val="FFFFFF" w:themeColor="background1"/>
          <w:sz w:val="28"/>
          <w:szCs w:val="24"/>
        </w:rPr>
      </w:pPr>
      <w:r>
        <w:rPr>
          <w:b/>
          <w:color w:val="FFFFFF" w:themeColor="background1"/>
          <w:sz w:val="28"/>
          <w:szCs w:val="24"/>
        </w:rPr>
        <w:t xml:space="preserve">B. </w:t>
      </w:r>
      <w:r w:rsidR="00F55322" w:rsidRPr="00D63265">
        <w:rPr>
          <w:b/>
          <w:color w:val="FFFFFF" w:themeColor="background1"/>
          <w:sz w:val="28"/>
          <w:szCs w:val="24"/>
        </w:rPr>
        <w:t>TBI, M</w:t>
      </w:r>
      <w:r w:rsidR="00CD6231" w:rsidRPr="00D63265">
        <w:rPr>
          <w:b/>
          <w:color w:val="FFFFFF" w:themeColor="background1"/>
          <w:sz w:val="28"/>
          <w:szCs w:val="24"/>
        </w:rPr>
        <w:t>o</w:t>
      </w:r>
      <w:r w:rsidR="00F55322" w:rsidRPr="00D63265">
        <w:rPr>
          <w:b/>
          <w:color w:val="FFFFFF" w:themeColor="background1"/>
          <w:sz w:val="28"/>
          <w:szCs w:val="24"/>
        </w:rPr>
        <w:t>rtality</w:t>
      </w:r>
      <w:r w:rsidR="00F1057F" w:rsidRPr="00D63265">
        <w:rPr>
          <w:b/>
          <w:color w:val="FFFFFF" w:themeColor="background1"/>
          <w:sz w:val="28"/>
          <w:szCs w:val="24"/>
        </w:rPr>
        <w:t>,</w:t>
      </w:r>
      <w:r w:rsidR="00F55322" w:rsidRPr="00D63265">
        <w:rPr>
          <w:b/>
          <w:color w:val="FFFFFF" w:themeColor="background1"/>
          <w:sz w:val="28"/>
          <w:szCs w:val="24"/>
        </w:rPr>
        <w:t xml:space="preserve"> and Suicide</w:t>
      </w:r>
    </w:p>
    <w:p w14:paraId="46F64D29" w14:textId="77777777" w:rsidR="00F55322" w:rsidRPr="00A30748" w:rsidRDefault="00F55322" w:rsidP="00F55322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 w:rsidRPr="00A30748">
        <w:rPr>
          <w:b/>
          <w:color w:val="1F497D" w:themeColor="text2"/>
          <w:sz w:val="28"/>
          <w:szCs w:val="24"/>
        </w:rPr>
        <w:t>Key Findings</w:t>
      </w:r>
    </w:p>
    <w:p w14:paraId="7E257F25" w14:textId="15B065DA" w:rsidR="00F55322" w:rsidRDefault="00F55322" w:rsidP="00F55322">
      <w:pPr>
        <w:pStyle w:val="ListParagraph"/>
        <w:numPr>
          <w:ilvl w:val="0"/>
          <w:numId w:val="3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jc w:val="both"/>
        <w:rPr>
          <w:sz w:val="24"/>
          <w:szCs w:val="24"/>
        </w:rPr>
      </w:pPr>
      <w:r w:rsidRPr="008B1943">
        <w:rPr>
          <w:b/>
          <w:sz w:val="24"/>
          <w:szCs w:val="24"/>
        </w:rPr>
        <w:t>TBI and Mortality</w:t>
      </w:r>
      <w:r w:rsidRPr="008B1943">
        <w:rPr>
          <w:sz w:val="24"/>
          <w:szCs w:val="24"/>
        </w:rPr>
        <w:t xml:space="preserve">. </w:t>
      </w:r>
      <w:r w:rsidR="0022797A">
        <w:rPr>
          <w:sz w:val="24"/>
          <w:szCs w:val="24"/>
        </w:rPr>
        <w:t>R</w:t>
      </w:r>
      <w:r w:rsidRPr="008B1943">
        <w:rPr>
          <w:sz w:val="24"/>
          <w:szCs w:val="24"/>
        </w:rPr>
        <w:t xml:space="preserve">isk of early death </w:t>
      </w:r>
      <w:r>
        <w:rPr>
          <w:sz w:val="24"/>
          <w:szCs w:val="24"/>
        </w:rPr>
        <w:t xml:space="preserve">is higher for </w:t>
      </w:r>
      <w:r w:rsidRPr="008B1943">
        <w:rPr>
          <w:sz w:val="24"/>
          <w:szCs w:val="24"/>
        </w:rPr>
        <w:t xml:space="preserve">Veterans with TBI than those with no TBI </w:t>
      </w:r>
      <w:r>
        <w:rPr>
          <w:sz w:val="24"/>
          <w:szCs w:val="24"/>
        </w:rPr>
        <w:t xml:space="preserve">and </w:t>
      </w:r>
      <w:r w:rsidRPr="008B1943">
        <w:rPr>
          <w:sz w:val="24"/>
          <w:szCs w:val="24"/>
        </w:rPr>
        <w:t>varie</w:t>
      </w:r>
      <w:r w:rsidR="007D2E0A">
        <w:rPr>
          <w:sz w:val="24"/>
          <w:szCs w:val="24"/>
        </w:rPr>
        <w:t>s</w:t>
      </w:r>
      <w:r w:rsidRPr="008B1943">
        <w:rPr>
          <w:sz w:val="24"/>
          <w:szCs w:val="24"/>
        </w:rPr>
        <w:t xml:space="preserve"> by TBI severity and time</w:t>
      </w:r>
      <w:r w:rsidR="007D7506">
        <w:rPr>
          <w:sz w:val="24"/>
          <w:szCs w:val="24"/>
        </w:rPr>
        <w:t xml:space="preserve"> since exposure</w:t>
      </w:r>
      <w:r w:rsidRPr="008B1943">
        <w:rPr>
          <w:sz w:val="24"/>
          <w:szCs w:val="24"/>
        </w:rPr>
        <w:t>.</w:t>
      </w:r>
      <w:r w:rsidR="00774347" w:rsidRPr="00774347">
        <w:rPr>
          <w:sz w:val="24"/>
          <w:szCs w:val="24"/>
          <w:vertAlign w:val="superscript"/>
        </w:rPr>
        <w:t>1</w:t>
      </w:r>
      <w:r w:rsidRPr="008B194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B1943">
        <w:rPr>
          <w:sz w:val="24"/>
          <w:szCs w:val="24"/>
        </w:rPr>
        <w:t>ll Veteran groups ha</w:t>
      </w:r>
      <w:r w:rsidR="007D7506">
        <w:rPr>
          <w:sz w:val="24"/>
          <w:szCs w:val="24"/>
        </w:rPr>
        <w:t>ve</w:t>
      </w:r>
      <w:r w:rsidRPr="008B1943">
        <w:rPr>
          <w:sz w:val="24"/>
          <w:szCs w:val="24"/>
        </w:rPr>
        <w:t xml:space="preserve"> higher </w:t>
      </w:r>
      <w:r>
        <w:rPr>
          <w:sz w:val="24"/>
          <w:szCs w:val="24"/>
        </w:rPr>
        <w:t xml:space="preserve">mortality </w:t>
      </w:r>
      <w:r w:rsidRPr="008B1943">
        <w:rPr>
          <w:sz w:val="24"/>
          <w:szCs w:val="24"/>
        </w:rPr>
        <w:t xml:space="preserve">rates than the general population, with the highest rates for </w:t>
      </w:r>
      <w:r>
        <w:rPr>
          <w:sz w:val="24"/>
          <w:szCs w:val="24"/>
        </w:rPr>
        <w:t xml:space="preserve">Veterans </w:t>
      </w:r>
      <w:r w:rsidRPr="008B1943">
        <w:rPr>
          <w:sz w:val="24"/>
          <w:szCs w:val="24"/>
        </w:rPr>
        <w:t>with moderate</w:t>
      </w:r>
      <w:r>
        <w:rPr>
          <w:sz w:val="24"/>
          <w:szCs w:val="24"/>
        </w:rPr>
        <w:t>-</w:t>
      </w:r>
      <w:r w:rsidRPr="008B1943">
        <w:rPr>
          <w:sz w:val="24"/>
          <w:szCs w:val="24"/>
        </w:rPr>
        <w:t xml:space="preserve">severe TBI followed by mTBI and </w:t>
      </w:r>
      <w:r>
        <w:rPr>
          <w:sz w:val="24"/>
          <w:szCs w:val="24"/>
        </w:rPr>
        <w:t xml:space="preserve">then </w:t>
      </w:r>
      <w:r w:rsidRPr="008B1943">
        <w:rPr>
          <w:sz w:val="24"/>
          <w:szCs w:val="24"/>
        </w:rPr>
        <w:t>no TBI.</w:t>
      </w:r>
      <w:r w:rsidR="00774347" w:rsidRPr="00774347">
        <w:rPr>
          <w:sz w:val="24"/>
          <w:szCs w:val="24"/>
          <w:vertAlign w:val="superscript"/>
        </w:rPr>
        <w:t>1</w:t>
      </w:r>
      <w:r w:rsidRPr="008B1943">
        <w:rPr>
          <w:sz w:val="24"/>
          <w:szCs w:val="24"/>
        </w:rPr>
        <w:t xml:space="preserve"> For moderate</w:t>
      </w:r>
      <w:r>
        <w:rPr>
          <w:sz w:val="24"/>
          <w:szCs w:val="24"/>
        </w:rPr>
        <w:t xml:space="preserve"> to </w:t>
      </w:r>
      <w:r w:rsidRPr="008B1943">
        <w:rPr>
          <w:sz w:val="24"/>
          <w:szCs w:val="24"/>
        </w:rPr>
        <w:t>severe TBI, mortality risk is highest within 6 months of injury and decrease</w:t>
      </w:r>
      <w:r w:rsidR="007D2E0A">
        <w:rPr>
          <w:sz w:val="24"/>
          <w:szCs w:val="24"/>
        </w:rPr>
        <w:t>s</w:t>
      </w:r>
      <w:r w:rsidRPr="008B1943">
        <w:rPr>
          <w:sz w:val="24"/>
          <w:szCs w:val="24"/>
        </w:rPr>
        <w:t xml:space="preserve"> over time.</w:t>
      </w:r>
      <w:r w:rsidR="00774347" w:rsidRPr="00774347">
        <w:rPr>
          <w:sz w:val="24"/>
          <w:szCs w:val="24"/>
          <w:vertAlign w:val="superscript"/>
        </w:rPr>
        <w:t>1</w:t>
      </w:r>
      <w:r w:rsidRPr="008B1943">
        <w:rPr>
          <w:sz w:val="24"/>
          <w:szCs w:val="24"/>
        </w:rPr>
        <w:t xml:space="preserve"> For mild TBI, risk for mortality is elevated </w:t>
      </w:r>
      <w:r w:rsidR="007D2E0A">
        <w:rPr>
          <w:sz w:val="24"/>
          <w:szCs w:val="24"/>
        </w:rPr>
        <w:t>and</w:t>
      </w:r>
      <w:r w:rsidRPr="008B1943">
        <w:rPr>
          <w:sz w:val="24"/>
          <w:szCs w:val="24"/>
        </w:rPr>
        <w:t xml:space="preserve"> remains constant over time.</w:t>
      </w:r>
      <w:r w:rsidR="00774347" w:rsidRPr="00774347">
        <w:rPr>
          <w:sz w:val="24"/>
          <w:szCs w:val="24"/>
          <w:vertAlign w:val="superscript"/>
        </w:rPr>
        <w:t>1</w:t>
      </w:r>
      <w:r w:rsidR="00797B10" w:rsidRPr="00797B10">
        <w:rPr>
          <w:sz w:val="24"/>
          <w:szCs w:val="24"/>
          <w:vertAlign w:val="superscript"/>
        </w:rPr>
        <w:t xml:space="preserve"> </w:t>
      </w:r>
      <w:r w:rsidR="002E3B79">
        <w:rPr>
          <w:sz w:val="24"/>
          <w:szCs w:val="24"/>
        </w:rPr>
        <w:t>Research on mTBI comorbidity phenotypes indicate</w:t>
      </w:r>
      <w:r w:rsidR="007D7506">
        <w:rPr>
          <w:sz w:val="24"/>
          <w:szCs w:val="24"/>
        </w:rPr>
        <w:t>s</w:t>
      </w:r>
      <w:r w:rsidR="002E3B79">
        <w:rPr>
          <w:sz w:val="24"/>
          <w:szCs w:val="24"/>
        </w:rPr>
        <w:t xml:space="preserve"> that Polytrauma and Mental Health subtypes ha</w:t>
      </w:r>
      <w:r w:rsidR="007D2E0A">
        <w:rPr>
          <w:sz w:val="24"/>
          <w:szCs w:val="24"/>
        </w:rPr>
        <w:t>ve</w:t>
      </w:r>
      <w:r w:rsidR="002E3B79">
        <w:rPr>
          <w:sz w:val="24"/>
          <w:szCs w:val="24"/>
        </w:rPr>
        <w:t xml:space="preserve"> a </w:t>
      </w:r>
      <w:r w:rsidR="007D2E0A">
        <w:rPr>
          <w:sz w:val="24"/>
          <w:szCs w:val="24"/>
        </w:rPr>
        <w:t>&gt;3</w:t>
      </w:r>
      <w:r w:rsidR="002E3B79">
        <w:rPr>
          <w:sz w:val="24"/>
          <w:szCs w:val="24"/>
        </w:rPr>
        <w:t xml:space="preserve"> times risk of early mortality; the Moderately Health and Declining subtype ha</w:t>
      </w:r>
      <w:r w:rsidR="007D2E0A">
        <w:rPr>
          <w:sz w:val="24"/>
          <w:szCs w:val="24"/>
        </w:rPr>
        <w:t>s a</w:t>
      </w:r>
      <w:r w:rsidR="002E3B79">
        <w:rPr>
          <w:sz w:val="24"/>
          <w:szCs w:val="24"/>
        </w:rPr>
        <w:t xml:space="preserve"> </w:t>
      </w:r>
      <w:r w:rsidR="007D2E0A">
        <w:rPr>
          <w:sz w:val="24"/>
          <w:szCs w:val="24"/>
        </w:rPr>
        <w:t>2 times</w:t>
      </w:r>
      <w:r w:rsidR="002E3B79">
        <w:rPr>
          <w:sz w:val="24"/>
          <w:szCs w:val="24"/>
        </w:rPr>
        <w:t xml:space="preserve"> </w:t>
      </w:r>
      <w:r w:rsidR="007D2E0A">
        <w:rPr>
          <w:sz w:val="24"/>
          <w:szCs w:val="24"/>
        </w:rPr>
        <w:t>greater</w:t>
      </w:r>
      <w:r w:rsidR="002E3B79">
        <w:rPr>
          <w:sz w:val="24"/>
          <w:szCs w:val="24"/>
        </w:rPr>
        <w:t xml:space="preserve"> risk of early mortality.</w:t>
      </w:r>
      <w:r w:rsidR="002E3B79">
        <w:rPr>
          <w:sz w:val="24"/>
          <w:szCs w:val="24"/>
          <w:vertAlign w:val="superscript"/>
        </w:rPr>
        <w:t>2</w:t>
      </w:r>
    </w:p>
    <w:p w14:paraId="0FD09DF0" w14:textId="07F3A71E" w:rsidR="00D6799B" w:rsidRDefault="00F55322" w:rsidP="00D6799B">
      <w:pPr>
        <w:pStyle w:val="ListParagraph"/>
        <w:numPr>
          <w:ilvl w:val="0"/>
          <w:numId w:val="3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TBI and Mortality</w:t>
      </w:r>
      <w:r w:rsidR="00E103A5" w:rsidRPr="00E103A5">
        <w:rPr>
          <w:b/>
          <w:sz w:val="24"/>
          <w:szCs w:val="24"/>
        </w:rPr>
        <w:t xml:space="preserve"> </w:t>
      </w:r>
      <w:r w:rsidR="00E103A5">
        <w:rPr>
          <w:b/>
          <w:sz w:val="24"/>
          <w:szCs w:val="24"/>
        </w:rPr>
        <w:t>Causes</w:t>
      </w:r>
      <w:r w:rsidRPr="00F553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B1943">
        <w:rPr>
          <w:sz w:val="24"/>
          <w:szCs w:val="24"/>
        </w:rPr>
        <w:t>Risk of d</w:t>
      </w:r>
      <w:r w:rsidRPr="008B1943">
        <w:rPr>
          <w:iCs/>
          <w:sz w:val="24"/>
          <w:szCs w:val="24"/>
        </w:rPr>
        <w:t xml:space="preserve">eath due to unintentional injury and stroke are higher </w:t>
      </w:r>
      <w:r w:rsidR="005525D2" w:rsidRPr="008B1943">
        <w:rPr>
          <w:iCs/>
          <w:sz w:val="24"/>
          <w:szCs w:val="24"/>
        </w:rPr>
        <w:t xml:space="preserve">in </w:t>
      </w:r>
      <w:r w:rsidR="005525D2">
        <w:rPr>
          <w:iCs/>
          <w:sz w:val="24"/>
          <w:szCs w:val="24"/>
        </w:rPr>
        <w:t xml:space="preserve">the </w:t>
      </w:r>
      <w:r w:rsidR="005525D2" w:rsidRPr="008B1943">
        <w:rPr>
          <w:iCs/>
          <w:sz w:val="24"/>
          <w:szCs w:val="24"/>
        </w:rPr>
        <w:t xml:space="preserve">first 6 months </w:t>
      </w:r>
      <w:r w:rsidRPr="008B1943">
        <w:rPr>
          <w:iCs/>
          <w:sz w:val="24"/>
          <w:szCs w:val="24"/>
        </w:rPr>
        <w:t>after moderate to severe TBI.</w:t>
      </w:r>
      <w:r w:rsidR="00774347" w:rsidRPr="00774347">
        <w:rPr>
          <w:sz w:val="24"/>
          <w:szCs w:val="24"/>
          <w:vertAlign w:val="superscript"/>
        </w:rPr>
        <w:t xml:space="preserve"> </w:t>
      </w:r>
      <w:r w:rsidR="00774347">
        <w:rPr>
          <w:sz w:val="24"/>
          <w:szCs w:val="24"/>
          <w:vertAlign w:val="superscript"/>
        </w:rPr>
        <w:t>1</w:t>
      </w:r>
      <w:r w:rsidRPr="008B1943">
        <w:rPr>
          <w:iCs/>
          <w:sz w:val="24"/>
          <w:szCs w:val="24"/>
        </w:rPr>
        <w:t xml:space="preserve"> </w:t>
      </w:r>
      <w:r w:rsidRPr="008B1943">
        <w:rPr>
          <w:sz w:val="24"/>
          <w:szCs w:val="24"/>
        </w:rPr>
        <w:t>For cancer, cardiovascular disease</w:t>
      </w:r>
      <w:r w:rsidR="005525D2">
        <w:rPr>
          <w:sz w:val="24"/>
          <w:szCs w:val="24"/>
        </w:rPr>
        <w:t>,</w:t>
      </w:r>
      <w:r w:rsidRPr="008B1943">
        <w:rPr>
          <w:sz w:val="24"/>
          <w:szCs w:val="24"/>
        </w:rPr>
        <w:t xml:space="preserve"> and other causes of death, Veterans with moderate</w:t>
      </w:r>
      <w:r>
        <w:rPr>
          <w:sz w:val="24"/>
          <w:szCs w:val="24"/>
        </w:rPr>
        <w:t>-</w:t>
      </w:r>
      <w:r w:rsidRPr="008B1943">
        <w:rPr>
          <w:sz w:val="24"/>
          <w:szCs w:val="24"/>
        </w:rPr>
        <w:t>severe TBI ha</w:t>
      </w:r>
      <w:r w:rsidR="007D2E0A">
        <w:rPr>
          <w:sz w:val="24"/>
          <w:szCs w:val="24"/>
        </w:rPr>
        <w:t>ve</w:t>
      </w:r>
      <w:r w:rsidRPr="008B1943">
        <w:rPr>
          <w:sz w:val="24"/>
          <w:szCs w:val="24"/>
        </w:rPr>
        <w:t xml:space="preserve"> significantly higher rates than all others in older age groups (e.g., 55+).</w:t>
      </w:r>
      <w:r w:rsidR="00774347">
        <w:rPr>
          <w:sz w:val="24"/>
          <w:szCs w:val="24"/>
          <w:vertAlign w:val="superscript"/>
        </w:rPr>
        <w:t xml:space="preserve">1, </w:t>
      </w:r>
      <w:r w:rsidR="002E3B79">
        <w:rPr>
          <w:sz w:val="24"/>
          <w:szCs w:val="24"/>
          <w:vertAlign w:val="superscript"/>
        </w:rPr>
        <w:t>3</w:t>
      </w:r>
      <w:r w:rsidR="00D6799B">
        <w:rPr>
          <w:sz w:val="24"/>
          <w:szCs w:val="24"/>
        </w:rPr>
        <w:t xml:space="preserve"> </w:t>
      </w:r>
    </w:p>
    <w:p w14:paraId="5DDB3893" w14:textId="3AA4F102" w:rsidR="00A2184B" w:rsidRPr="00D6799B" w:rsidRDefault="00A2184B" w:rsidP="00B40929">
      <w:pPr>
        <w:pStyle w:val="ListParagraph"/>
        <w:numPr>
          <w:ilvl w:val="0"/>
          <w:numId w:val="3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jc w:val="both"/>
        <w:rPr>
          <w:b/>
          <w:sz w:val="24"/>
          <w:szCs w:val="24"/>
        </w:rPr>
      </w:pPr>
      <w:r w:rsidRPr="00D6799B">
        <w:rPr>
          <w:b/>
          <w:sz w:val="24"/>
          <w:szCs w:val="24"/>
        </w:rPr>
        <w:t>TBI and Suicide</w:t>
      </w:r>
      <w:r w:rsidRPr="00D6799B">
        <w:rPr>
          <w:sz w:val="24"/>
          <w:szCs w:val="24"/>
        </w:rPr>
        <w:t xml:space="preserve">. </w:t>
      </w:r>
      <w:r w:rsidR="00774347" w:rsidRPr="00D6799B">
        <w:rPr>
          <w:sz w:val="24"/>
          <w:szCs w:val="24"/>
        </w:rPr>
        <w:t>V</w:t>
      </w:r>
      <w:r w:rsidRPr="00D6799B">
        <w:rPr>
          <w:sz w:val="24"/>
          <w:szCs w:val="24"/>
        </w:rPr>
        <w:t>eterans with mild and moderate-to-severe TBI are at increased risk of death by drug overdose and firearms</w:t>
      </w:r>
      <w:r w:rsidR="005B52AA">
        <w:rPr>
          <w:sz w:val="24"/>
          <w:szCs w:val="24"/>
        </w:rPr>
        <w:t xml:space="preserve">; </w:t>
      </w:r>
      <w:r w:rsidRPr="00D6799B">
        <w:rPr>
          <w:sz w:val="24"/>
          <w:szCs w:val="24"/>
        </w:rPr>
        <w:t xml:space="preserve">overdose risk </w:t>
      </w:r>
      <w:r w:rsidR="005B52AA">
        <w:rPr>
          <w:sz w:val="24"/>
          <w:szCs w:val="24"/>
        </w:rPr>
        <w:t xml:space="preserve">is </w:t>
      </w:r>
      <w:r w:rsidRPr="00D6799B">
        <w:rPr>
          <w:sz w:val="24"/>
          <w:szCs w:val="24"/>
        </w:rPr>
        <w:t xml:space="preserve">heightened </w:t>
      </w:r>
      <w:r w:rsidR="007D7506">
        <w:rPr>
          <w:sz w:val="24"/>
          <w:szCs w:val="24"/>
        </w:rPr>
        <w:t>in</w:t>
      </w:r>
      <w:r w:rsidRPr="00D6799B">
        <w:rPr>
          <w:sz w:val="24"/>
          <w:szCs w:val="24"/>
        </w:rPr>
        <w:t xml:space="preserve"> middle</w:t>
      </w:r>
      <w:r w:rsidR="005B55D4">
        <w:rPr>
          <w:sz w:val="24"/>
          <w:szCs w:val="24"/>
        </w:rPr>
        <w:t>-aged</w:t>
      </w:r>
      <w:r w:rsidRPr="00D6799B">
        <w:rPr>
          <w:sz w:val="24"/>
          <w:szCs w:val="24"/>
        </w:rPr>
        <w:t xml:space="preserve"> and older</w:t>
      </w:r>
      <w:r w:rsidR="00774347" w:rsidRPr="00D6799B">
        <w:rPr>
          <w:sz w:val="24"/>
          <w:szCs w:val="24"/>
        </w:rPr>
        <w:t xml:space="preserve"> adults</w:t>
      </w:r>
      <w:r w:rsidRPr="00D6799B">
        <w:rPr>
          <w:sz w:val="24"/>
          <w:szCs w:val="24"/>
        </w:rPr>
        <w:t>.</w:t>
      </w:r>
      <w:r w:rsidR="00916725">
        <w:rPr>
          <w:sz w:val="24"/>
          <w:szCs w:val="24"/>
          <w:vertAlign w:val="superscript"/>
        </w:rPr>
        <w:t>4</w:t>
      </w:r>
      <w:r w:rsidRPr="00D6799B">
        <w:rPr>
          <w:sz w:val="24"/>
          <w:szCs w:val="24"/>
        </w:rPr>
        <w:t xml:space="preserve"> </w:t>
      </w:r>
      <w:r w:rsidR="00BC6E8D">
        <w:rPr>
          <w:sz w:val="24"/>
          <w:szCs w:val="24"/>
        </w:rPr>
        <w:t>Research on mTBI comorbidity phenotypes indicate</w:t>
      </w:r>
      <w:r w:rsidR="007D2E0A">
        <w:rPr>
          <w:sz w:val="24"/>
          <w:szCs w:val="24"/>
        </w:rPr>
        <w:t>s</w:t>
      </w:r>
      <w:r w:rsidR="00BC6E8D">
        <w:rPr>
          <w:sz w:val="24"/>
          <w:szCs w:val="24"/>
        </w:rPr>
        <w:t xml:space="preserve"> that the </w:t>
      </w:r>
      <w:r w:rsidR="005B52AA">
        <w:rPr>
          <w:sz w:val="24"/>
          <w:szCs w:val="24"/>
        </w:rPr>
        <w:t>‘</w:t>
      </w:r>
      <w:r w:rsidR="00BC6E8D">
        <w:rPr>
          <w:sz w:val="24"/>
          <w:szCs w:val="24"/>
        </w:rPr>
        <w:t>Mental Health</w:t>
      </w:r>
      <w:r w:rsidR="005B52AA">
        <w:rPr>
          <w:sz w:val="24"/>
          <w:szCs w:val="24"/>
        </w:rPr>
        <w:t>’</w:t>
      </w:r>
      <w:r w:rsidR="00BC6E8D">
        <w:rPr>
          <w:sz w:val="24"/>
          <w:szCs w:val="24"/>
        </w:rPr>
        <w:t xml:space="preserve"> subtype had</w:t>
      </w:r>
      <w:r w:rsidR="008D0DCA">
        <w:rPr>
          <w:sz w:val="24"/>
          <w:szCs w:val="24"/>
        </w:rPr>
        <w:t xml:space="preserve"> </w:t>
      </w:r>
      <w:r w:rsidR="007D2E0A">
        <w:rPr>
          <w:sz w:val="24"/>
          <w:szCs w:val="24"/>
        </w:rPr>
        <w:t>2 times</w:t>
      </w:r>
      <w:r w:rsidR="008D0DCA">
        <w:rPr>
          <w:sz w:val="24"/>
          <w:szCs w:val="24"/>
        </w:rPr>
        <w:t xml:space="preserve"> the risk of overdose and suicide-related behavior.</w:t>
      </w:r>
      <w:r w:rsidR="008D0DCA">
        <w:rPr>
          <w:sz w:val="24"/>
          <w:szCs w:val="24"/>
          <w:vertAlign w:val="superscript"/>
        </w:rPr>
        <w:t>2</w:t>
      </w:r>
      <w:r w:rsidR="008D0DCA">
        <w:rPr>
          <w:sz w:val="24"/>
          <w:szCs w:val="24"/>
        </w:rPr>
        <w:t xml:space="preserve"> T</w:t>
      </w:r>
      <w:r w:rsidR="00BC6E8D">
        <w:rPr>
          <w:sz w:val="24"/>
          <w:szCs w:val="24"/>
        </w:rPr>
        <w:t xml:space="preserve">he </w:t>
      </w:r>
      <w:r w:rsidR="005B52AA">
        <w:rPr>
          <w:sz w:val="24"/>
          <w:szCs w:val="24"/>
        </w:rPr>
        <w:t>‘</w:t>
      </w:r>
      <w:r w:rsidR="008D0DCA">
        <w:rPr>
          <w:sz w:val="24"/>
          <w:szCs w:val="24"/>
        </w:rPr>
        <w:t>Polytrauma</w:t>
      </w:r>
      <w:r w:rsidR="005B52AA">
        <w:rPr>
          <w:sz w:val="24"/>
          <w:szCs w:val="24"/>
        </w:rPr>
        <w:t>’</w:t>
      </w:r>
      <w:r w:rsidR="008D0DCA">
        <w:rPr>
          <w:sz w:val="24"/>
          <w:szCs w:val="24"/>
        </w:rPr>
        <w:t xml:space="preserve"> and </w:t>
      </w:r>
      <w:r w:rsidR="005B52AA">
        <w:rPr>
          <w:sz w:val="24"/>
          <w:szCs w:val="24"/>
        </w:rPr>
        <w:t>‘</w:t>
      </w:r>
      <w:r w:rsidR="00BC6E8D">
        <w:rPr>
          <w:sz w:val="24"/>
          <w:szCs w:val="24"/>
        </w:rPr>
        <w:t>Moderately Health</w:t>
      </w:r>
      <w:r w:rsidR="008D0DCA">
        <w:rPr>
          <w:sz w:val="24"/>
          <w:szCs w:val="24"/>
        </w:rPr>
        <w:t>y</w:t>
      </w:r>
      <w:r w:rsidR="00BC6E8D">
        <w:rPr>
          <w:sz w:val="24"/>
          <w:szCs w:val="24"/>
        </w:rPr>
        <w:t xml:space="preserve"> and Declining</w:t>
      </w:r>
      <w:r w:rsidR="005B52AA">
        <w:rPr>
          <w:sz w:val="24"/>
          <w:szCs w:val="24"/>
        </w:rPr>
        <w:t>’</w:t>
      </w:r>
      <w:r w:rsidR="00BC6E8D">
        <w:rPr>
          <w:sz w:val="24"/>
          <w:szCs w:val="24"/>
        </w:rPr>
        <w:t xml:space="preserve"> subtype</w:t>
      </w:r>
      <w:r w:rsidR="008D0DCA">
        <w:rPr>
          <w:sz w:val="24"/>
          <w:szCs w:val="24"/>
        </w:rPr>
        <w:t>s</w:t>
      </w:r>
      <w:r w:rsidR="00BC6E8D">
        <w:rPr>
          <w:sz w:val="24"/>
          <w:szCs w:val="24"/>
        </w:rPr>
        <w:t xml:space="preserve"> ha</w:t>
      </w:r>
      <w:r w:rsidR="007D2E0A">
        <w:rPr>
          <w:sz w:val="24"/>
          <w:szCs w:val="24"/>
        </w:rPr>
        <w:t>ve</w:t>
      </w:r>
      <w:r w:rsidR="00BC6E8D">
        <w:rPr>
          <w:sz w:val="24"/>
          <w:szCs w:val="24"/>
        </w:rPr>
        <w:t xml:space="preserve"> </w:t>
      </w:r>
      <w:r w:rsidR="00A74799">
        <w:rPr>
          <w:sz w:val="24"/>
          <w:szCs w:val="24"/>
        </w:rPr>
        <w:t xml:space="preserve">a </w:t>
      </w:r>
      <w:r w:rsidR="008D0DCA">
        <w:rPr>
          <w:sz w:val="24"/>
          <w:szCs w:val="24"/>
        </w:rPr>
        <w:t xml:space="preserve">small but significant </w:t>
      </w:r>
      <w:r w:rsidR="00A74799">
        <w:rPr>
          <w:sz w:val="24"/>
          <w:szCs w:val="24"/>
        </w:rPr>
        <w:t xml:space="preserve">increased </w:t>
      </w:r>
      <w:r w:rsidR="008D0DCA">
        <w:rPr>
          <w:sz w:val="24"/>
          <w:szCs w:val="24"/>
        </w:rPr>
        <w:t>risk of overdose and suicide-related behavior</w:t>
      </w:r>
      <w:r w:rsidR="00BC6E8D">
        <w:rPr>
          <w:sz w:val="24"/>
          <w:szCs w:val="24"/>
        </w:rPr>
        <w:t>.</w:t>
      </w:r>
      <w:r w:rsidR="00BC6E8D">
        <w:rPr>
          <w:sz w:val="24"/>
          <w:szCs w:val="24"/>
          <w:vertAlign w:val="superscript"/>
        </w:rPr>
        <w:t>2</w:t>
      </w:r>
    </w:p>
    <w:p w14:paraId="4F2540A3" w14:textId="5FCFCD03" w:rsidR="00F55322" w:rsidRPr="00A2184B" w:rsidRDefault="00A2184B" w:rsidP="00A2184B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jc w:val="both"/>
        <w:rPr>
          <w:b/>
          <w:color w:val="1F497D" w:themeColor="text2"/>
          <w:sz w:val="28"/>
          <w:szCs w:val="24"/>
        </w:rPr>
      </w:pPr>
      <w:r>
        <w:rPr>
          <w:b/>
          <w:color w:val="1F497D" w:themeColor="text2"/>
          <w:sz w:val="28"/>
          <w:szCs w:val="24"/>
        </w:rPr>
        <w:t xml:space="preserve">Clinical </w:t>
      </w:r>
      <w:r w:rsidR="00F55322" w:rsidRPr="00A2184B">
        <w:rPr>
          <w:b/>
          <w:color w:val="1F497D" w:themeColor="text2"/>
          <w:sz w:val="28"/>
          <w:szCs w:val="24"/>
        </w:rPr>
        <w:t>Impact</w:t>
      </w:r>
    </w:p>
    <w:p w14:paraId="204E5D96" w14:textId="77777777" w:rsidR="007D2E0A" w:rsidRDefault="00F723B9" w:rsidP="00A2184B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 w:rsidRPr="007362E0">
        <w:rPr>
          <w:b/>
          <w:sz w:val="24"/>
          <w:szCs w:val="24"/>
        </w:rPr>
        <w:t>Recommendations to Reduc</w:t>
      </w:r>
      <w:r w:rsidR="007362E0" w:rsidRPr="007362E0">
        <w:rPr>
          <w:b/>
          <w:sz w:val="24"/>
          <w:szCs w:val="24"/>
        </w:rPr>
        <w:t>e</w:t>
      </w:r>
      <w:r w:rsidRPr="007362E0">
        <w:rPr>
          <w:b/>
          <w:sz w:val="24"/>
          <w:szCs w:val="24"/>
        </w:rPr>
        <w:t xml:space="preserve"> Mortality following TBI</w:t>
      </w:r>
      <w:r w:rsidRPr="007362E0">
        <w:rPr>
          <w:sz w:val="24"/>
          <w:szCs w:val="24"/>
        </w:rPr>
        <w:t xml:space="preserve">. </w:t>
      </w:r>
      <w:r w:rsidR="00F55322" w:rsidRPr="007362E0">
        <w:rPr>
          <w:sz w:val="24"/>
          <w:szCs w:val="24"/>
        </w:rPr>
        <w:t xml:space="preserve">LIMBIC-CENC findings on the association between TBI and higher risk of Veteran mortality </w:t>
      </w:r>
      <w:r w:rsidR="005525D2" w:rsidRPr="007362E0">
        <w:rPr>
          <w:sz w:val="24"/>
          <w:szCs w:val="24"/>
        </w:rPr>
        <w:t xml:space="preserve">replicate and </w:t>
      </w:r>
      <w:r w:rsidR="00F55322" w:rsidRPr="007362E0">
        <w:rPr>
          <w:sz w:val="24"/>
          <w:szCs w:val="24"/>
        </w:rPr>
        <w:t>extend the current literature</w:t>
      </w:r>
      <w:r w:rsidRPr="007362E0">
        <w:rPr>
          <w:sz w:val="24"/>
          <w:szCs w:val="24"/>
        </w:rPr>
        <w:t xml:space="preserve"> in both military and civilian populations</w:t>
      </w:r>
      <w:r w:rsidR="00F55322" w:rsidRPr="007362E0">
        <w:rPr>
          <w:sz w:val="24"/>
          <w:szCs w:val="24"/>
        </w:rPr>
        <w:t xml:space="preserve">, especially for </w:t>
      </w:r>
      <w:r w:rsidRPr="007362E0">
        <w:rPr>
          <w:sz w:val="24"/>
          <w:szCs w:val="24"/>
        </w:rPr>
        <w:t>the risk of death due to unintentional injury in the first year following moderate to severe TBI</w:t>
      </w:r>
      <w:r w:rsidR="00F55322" w:rsidRPr="007362E0">
        <w:rPr>
          <w:sz w:val="24"/>
          <w:szCs w:val="24"/>
        </w:rPr>
        <w:t>.</w:t>
      </w:r>
    </w:p>
    <w:p w14:paraId="2FDE5835" w14:textId="41307610" w:rsidR="006954E2" w:rsidRDefault="007D2E0A" w:rsidP="006954E2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Clinical Care Policies. </w:t>
      </w:r>
      <w:r w:rsidR="007D7506">
        <w:rPr>
          <w:sz w:val="24"/>
          <w:szCs w:val="24"/>
        </w:rPr>
        <w:t>LIMBIC-CENC research</w:t>
      </w:r>
      <w:r w:rsidR="00F55322" w:rsidRPr="007D2E0A">
        <w:rPr>
          <w:sz w:val="24"/>
          <w:szCs w:val="24"/>
        </w:rPr>
        <w:t xml:space="preserve"> </w:t>
      </w:r>
      <w:r w:rsidR="00F723B9" w:rsidRPr="007D2E0A">
        <w:rPr>
          <w:sz w:val="24"/>
          <w:szCs w:val="24"/>
        </w:rPr>
        <w:t>provide</w:t>
      </w:r>
      <w:r w:rsidR="00397640">
        <w:rPr>
          <w:sz w:val="24"/>
          <w:szCs w:val="24"/>
        </w:rPr>
        <w:t>s</w:t>
      </w:r>
      <w:r w:rsidR="00F723B9" w:rsidRPr="007D2E0A">
        <w:rPr>
          <w:sz w:val="24"/>
          <w:szCs w:val="24"/>
        </w:rPr>
        <w:t xml:space="preserve"> evidence </w:t>
      </w:r>
      <w:r w:rsidR="00397640">
        <w:rPr>
          <w:sz w:val="24"/>
          <w:szCs w:val="24"/>
        </w:rPr>
        <w:t xml:space="preserve">for DOD/V.A. healthcare </w:t>
      </w:r>
      <w:r w:rsidR="00F723B9" w:rsidRPr="007D2E0A">
        <w:rPr>
          <w:sz w:val="24"/>
          <w:szCs w:val="24"/>
        </w:rPr>
        <w:t>policies that recommend</w:t>
      </w:r>
      <w:r w:rsidR="00397640">
        <w:rPr>
          <w:sz w:val="24"/>
          <w:szCs w:val="24"/>
        </w:rPr>
        <w:t>:</w:t>
      </w:r>
      <w:r w:rsidR="00F723B9" w:rsidRPr="007D2E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1) </w:t>
      </w:r>
      <w:r w:rsidR="00F723B9" w:rsidRPr="007D2E0A">
        <w:rPr>
          <w:sz w:val="24"/>
          <w:szCs w:val="24"/>
        </w:rPr>
        <w:t>providing full-time</w:t>
      </w:r>
      <w:r w:rsidR="00C8191B" w:rsidRPr="007D2E0A">
        <w:rPr>
          <w:sz w:val="24"/>
          <w:szCs w:val="24"/>
        </w:rPr>
        <w:t>, direct</w:t>
      </w:r>
      <w:r w:rsidR="00F723B9" w:rsidRPr="007D2E0A">
        <w:rPr>
          <w:sz w:val="24"/>
          <w:szCs w:val="24"/>
        </w:rPr>
        <w:t xml:space="preserve"> supervision in the first year for individuals with severe TBI who have cognitive impairments and lack awareness of their deficits</w:t>
      </w:r>
      <w:r>
        <w:rPr>
          <w:sz w:val="24"/>
          <w:szCs w:val="24"/>
        </w:rPr>
        <w:t xml:space="preserve">, 2) </w:t>
      </w:r>
      <w:r w:rsidR="007362E0" w:rsidRPr="007D2E0A">
        <w:rPr>
          <w:sz w:val="24"/>
          <w:szCs w:val="24"/>
        </w:rPr>
        <w:t xml:space="preserve">self-management training and/or caregiving assistance to Veterans with moderate-severe TBI who have </w:t>
      </w:r>
      <w:r w:rsidR="00C8191B" w:rsidRPr="007D2E0A">
        <w:rPr>
          <w:sz w:val="24"/>
          <w:szCs w:val="24"/>
        </w:rPr>
        <w:t xml:space="preserve">multiple, </w:t>
      </w:r>
      <w:r w:rsidR="007362E0" w:rsidRPr="007D2E0A">
        <w:rPr>
          <w:sz w:val="24"/>
          <w:szCs w:val="24"/>
        </w:rPr>
        <w:t>complex, chronic health conditions</w:t>
      </w:r>
      <w:r>
        <w:rPr>
          <w:sz w:val="24"/>
          <w:szCs w:val="24"/>
        </w:rPr>
        <w:t>,</w:t>
      </w:r>
      <w:r w:rsidR="007362E0" w:rsidRPr="007D2E0A">
        <w:rPr>
          <w:sz w:val="24"/>
          <w:szCs w:val="24"/>
        </w:rPr>
        <w:t xml:space="preserve"> </w:t>
      </w:r>
      <w:r w:rsidR="00397640">
        <w:rPr>
          <w:sz w:val="24"/>
          <w:szCs w:val="24"/>
        </w:rPr>
        <w:t xml:space="preserve">and </w:t>
      </w:r>
      <w:r>
        <w:rPr>
          <w:sz w:val="24"/>
          <w:szCs w:val="24"/>
        </w:rPr>
        <w:t>3)</w:t>
      </w:r>
      <w:r w:rsidR="005E1FD9" w:rsidRPr="007D2E0A">
        <w:rPr>
          <w:sz w:val="24"/>
          <w:szCs w:val="24"/>
        </w:rPr>
        <w:t xml:space="preserve"> </w:t>
      </w:r>
      <w:r w:rsidR="00397640" w:rsidRPr="007D2E0A">
        <w:rPr>
          <w:sz w:val="24"/>
          <w:szCs w:val="24"/>
        </w:rPr>
        <w:t xml:space="preserve">a combination of counseling, family involvement, and targeted means reduction </w:t>
      </w:r>
      <w:r w:rsidR="00397640">
        <w:rPr>
          <w:sz w:val="24"/>
          <w:szCs w:val="24"/>
        </w:rPr>
        <w:t xml:space="preserve">to prevent </w:t>
      </w:r>
      <w:r w:rsidR="00A2184B" w:rsidRPr="007D2E0A">
        <w:rPr>
          <w:sz w:val="24"/>
          <w:szCs w:val="24"/>
        </w:rPr>
        <w:t>suicide and unintended death.</w:t>
      </w:r>
    </w:p>
    <w:p w14:paraId="26023E38" w14:textId="633F5302" w:rsidR="006954E2" w:rsidRPr="006954E2" w:rsidRDefault="006954E2" w:rsidP="006954E2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sz w:val="24"/>
          <w:szCs w:val="24"/>
        </w:rPr>
      </w:pPr>
      <w:r w:rsidRPr="006954E2">
        <w:rPr>
          <w:b/>
          <w:sz w:val="24"/>
          <w:szCs w:val="24"/>
        </w:rPr>
        <w:t>Brain Health and Wellness Tool</w:t>
      </w:r>
      <w:r w:rsidRPr="006954E2">
        <w:rPr>
          <w:sz w:val="24"/>
          <w:szCs w:val="24"/>
        </w:rPr>
        <w:t xml:space="preserve">. LIMBIC-CENC findings on preventable behavioral health risk factors after TBI, synthesized with the current research literature, led to the development, testing, and release of the LIMBIC-CENC a brain health and wellness survey that generates personalized recommendations to support Service Members and Veterans efforts to identify and self-manage their health-related risk factors after TBI. The LIMBIC-CENC’s Brain Health and Wellness Video Series complements the survey tool and provides a series of 4-minute primers on how to identify, prevent or self-manage TBI and co-morbid risk factors that can </w:t>
      </w:r>
      <w:r>
        <w:rPr>
          <w:sz w:val="24"/>
          <w:szCs w:val="24"/>
        </w:rPr>
        <w:t>decrease</w:t>
      </w:r>
      <w:r w:rsidRPr="006954E2">
        <w:rPr>
          <w:sz w:val="24"/>
          <w:szCs w:val="24"/>
        </w:rPr>
        <w:t xml:space="preserve"> </w:t>
      </w:r>
      <w:r>
        <w:rPr>
          <w:sz w:val="24"/>
          <w:szCs w:val="24"/>
        </w:rPr>
        <w:t>mortality risk</w:t>
      </w:r>
      <w:r w:rsidRPr="006954E2">
        <w:rPr>
          <w:sz w:val="24"/>
          <w:szCs w:val="24"/>
        </w:rPr>
        <w:t>.</w:t>
      </w:r>
    </w:p>
    <w:p w14:paraId="078790A2" w14:textId="77777777" w:rsidR="00F55322" w:rsidRPr="00A30748" w:rsidRDefault="00F55322" w:rsidP="00F55322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 w:rsidRPr="00A30748">
        <w:rPr>
          <w:b/>
          <w:color w:val="1F497D" w:themeColor="text2"/>
          <w:sz w:val="28"/>
          <w:szCs w:val="24"/>
        </w:rPr>
        <w:t>Primary Knowledge Translation Products</w:t>
      </w:r>
    </w:p>
    <w:p w14:paraId="64613ECE" w14:textId="585B9AC4" w:rsidR="00F55322" w:rsidRPr="00691485" w:rsidRDefault="00F55322" w:rsidP="00F55322">
      <w:pPr>
        <w:pStyle w:val="ListParagraph"/>
        <w:numPr>
          <w:ilvl w:val="0"/>
          <w:numId w:val="6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LIMBIC-CENC provides a repository of information on</w:t>
      </w:r>
      <w:r w:rsidR="00DB3BC4">
        <w:rPr>
          <w:rFonts w:cstheme="minorHAnsi"/>
          <w:sz w:val="24"/>
          <w:szCs w:val="24"/>
        </w:rPr>
        <w:t xml:space="preserve"> </w:t>
      </w:r>
      <w:hyperlink r:id="rId8" w:history="1">
        <w:r w:rsidR="00317744">
          <w:rPr>
            <w:rStyle w:val="Hyperlink"/>
            <w:rFonts w:cstheme="minorHAnsi"/>
            <w:sz w:val="24"/>
            <w:szCs w:val="24"/>
          </w:rPr>
          <w:t>Suicide Prevention for Service Members, Veterans and Families</w:t>
        </w:r>
      </w:hyperlink>
      <w:r w:rsidR="00317744">
        <w:rPr>
          <w:rFonts w:cstheme="minorHAnsi"/>
          <w:sz w:val="24"/>
          <w:szCs w:val="24"/>
        </w:rPr>
        <w:t xml:space="preserve"> and </w:t>
      </w:r>
      <w:hyperlink r:id="rId9" w:history="1">
        <w:r w:rsidR="00DB3BC4">
          <w:rPr>
            <w:rStyle w:val="Hyperlink"/>
            <w:rFonts w:cstheme="minorHAnsi"/>
            <w:sz w:val="24"/>
            <w:szCs w:val="24"/>
          </w:rPr>
          <w:t>Managing Medical Conditions for Service Members, Veterans, and Families</w:t>
        </w:r>
      </w:hyperlink>
      <w:r w:rsidR="008748A6">
        <w:rPr>
          <w:rFonts w:cstheme="minorHAnsi"/>
          <w:sz w:val="24"/>
          <w:szCs w:val="24"/>
        </w:rPr>
        <w:t>, and</w:t>
      </w:r>
      <w:r w:rsidR="00DB3BC4">
        <w:rPr>
          <w:rFonts w:cstheme="minorHAnsi"/>
          <w:sz w:val="24"/>
          <w:szCs w:val="24"/>
        </w:rPr>
        <w:t xml:space="preserve"> </w:t>
      </w:r>
      <w:hyperlink r:id="rId10" w:history="1">
        <w:r w:rsidR="00DB3BC4">
          <w:rPr>
            <w:rStyle w:val="Hyperlink"/>
            <w:rFonts w:cstheme="minorHAnsi"/>
            <w:sz w:val="24"/>
            <w:szCs w:val="24"/>
          </w:rPr>
          <w:t>Suicide Prevention and Managing Medical Condition Information for TBI Clinicians</w:t>
        </w:r>
      </w:hyperlink>
      <w:r w:rsidR="00DB3BC4">
        <w:rPr>
          <w:rFonts w:cstheme="minorHAnsi"/>
          <w:sz w:val="24"/>
          <w:szCs w:val="24"/>
        </w:rPr>
        <w:t>.</w:t>
      </w:r>
    </w:p>
    <w:p w14:paraId="5791A0D3" w14:textId="038E19A3" w:rsidR="00F55322" w:rsidRPr="00774347" w:rsidRDefault="00F55322" w:rsidP="007362E0">
      <w:pPr>
        <w:pStyle w:val="ListParagraph"/>
        <w:numPr>
          <w:ilvl w:val="0"/>
          <w:numId w:val="6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LIMBIC-</w:t>
      </w:r>
      <w:r w:rsidRPr="00691485">
        <w:rPr>
          <w:sz w:val="24"/>
          <w:szCs w:val="24"/>
        </w:rPr>
        <w:t>CENC</w:t>
      </w:r>
      <w:r>
        <w:rPr>
          <w:sz w:val="24"/>
          <w:szCs w:val="24"/>
        </w:rPr>
        <w:t>’s</w:t>
      </w:r>
      <w:r w:rsidRPr="00691485">
        <w:rPr>
          <w:sz w:val="24"/>
          <w:szCs w:val="24"/>
        </w:rPr>
        <w:t xml:space="preserve"> </w:t>
      </w:r>
      <w:hyperlink r:id="rId11" w:history="1">
        <w:r>
          <w:rPr>
            <w:rStyle w:val="Hyperlink"/>
            <w:sz w:val="24"/>
            <w:szCs w:val="24"/>
          </w:rPr>
          <w:t xml:space="preserve">Brain Health and Wellness Survey and Personalized Recommendations Report </w:t>
        </w:r>
      </w:hyperlink>
      <w:r>
        <w:rPr>
          <w:sz w:val="24"/>
          <w:szCs w:val="24"/>
        </w:rPr>
        <w:t xml:space="preserve"> </w:t>
      </w:r>
      <w:r w:rsidRPr="00691485">
        <w:rPr>
          <w:sz w:val="24"/>
          <w:szCs w:val="24"/>
        </w:rPr>
        <w:t>provides a</w:t>
      </w:r>
      <w:r>
        <w:rPr>
          <w:sz w:val="24"/>
          <w:szCs w:val="24"/>
        </w:rPr>
        <w:t xml:space="preserve"> yes-no survey for SMs and Vs to identify their behavioral health risk factors and receive personalized information and recommendations.</w:t>
      </w:r>
    </w:p>
    <w:p w14:paraId="08D3A589" w14:textId="139B1F98" w:rsidR="00F55322" w:rsidRPr="002074C0" w:rsidRDefault="00F55322" w:rsidP="00F55322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before="120" w:after="120" w:line="240" w:lineRule="auto"/>
        <w:jc w:val="center"/>
        <w:rPr>
          <w:b/>
          <w:sz w:val="18"/>
          <w:szCs w:val="24"/>
        </w:rPr>
      </w:pPr>
      <w:r w:rsidRPr="002074C0">
        <w:rPr>
          <w:b/>
          <w:sz w:val="18"/>
          <w:szCs w:val="24"/>
        </w:rPr>
        <w:t>LIMBIC-CENC TBI</w:t>
      </w:r>
      <w:r w:rsidR="00D5538A">
        <w:rPr>
          <w:b/>
          <w:sz w:val="18"/>
          <w:szCs w:val="24"/>
        </w:rPr>
        <w:t>, Mortality and Suicide</w:t>
      </w:r>
      <w:r w:rsidRPr="002074C0">
        <w:rPr>
          <w:b/>
          <w:sz w:val="18"/>
          <w:szCs w:val="24"/>
        </w:rPr>
        <w:t xml:space="preserve"> Primary References</w:t>
      </w:r>
    </w:p>
    <w:p w14:paraId="5C868BE1" w14:textId="3BABEB12" w:rsidR="00F55322" w:rsidRDefault="00F55322" w:rsidP="00732F64">
      <w:pPr>
        <w:pStyle w:val="ListParagraph"/>
        <w:numPr>
          <w:ilvl w:val="0"/>
          <w:numId w:val="3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jc w:val="both"/>
        <w:rPr>
          <w:sz w:val="18"/>
          <w:szCs w:val="20"/>
        </w:rPr>
      </w:pPr>
      <w:r w:rsidRPr="002074C0">
        <w:rPr>
          <w:sz w:val="18"/>
          <w:szCs w:val="20"/>
        </w:rPr>
        <w:t>Byers AL, Li Y, Barnes DE, Boscardin WJ, Peltz CB, Yaffe K. TBI and risk of death in military veterans over 14 years: Injury severity, timing, and cause of death. J Psychiatr Res. 2022 Dec;156:200-205. doi: 10.1016/j.jpsychires.2022.09.035. Epub 2022 Sep 25. PMID: 36257114.</w:t>
      </w:r>
    </w:p>
    <w:p w14:paraId="583D8E58" w14:textId="77777777" w:rsidR="00D5538A" w:rsidRPr="005A462D" w:rsidRDefault="00D5538A" w:rsidP="00D5538A">
      <w:pPr>
        <w:pStyle w:val="ListParagraph"/>
        <w:numPr>
          <w:ilvl w:val="0"/>
          <w:numId w:val="3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jc w:val="both"/>
        <w:rPr>
          <w:sz w:val="18"/>
          <w:szCs w:val="20"/>
        </w:rPr>
      </w:pPr>
      <w:r w:rsidRPr="005A462D">
        <w:rPr>
          <w:sz w:val="18"/>
          <w:szCs w:val="20"/>
        </w:rPr>
        <w:t>Stewart IJ, Amuan ME, Wang CP, et al: Association between traumatic brain injury and cardiovascular disease among post-911 veterans. JAMA Neurol 2022;79(11):1122-1129.</w:t>
      </w:r>
    </w:p>
    <w:p w14:paraId="18AF6845" w14:textId="77777777" w:rsidR="00916725" w:rsidRPr="00774347" w:rsidRDefault="00916725" w:rsidP="00916725">
      <w:pPr>
        <w:pStyle w:val="ListParagraph"/>
        <w:numPr>
          <w:ilvl w:val="0"/>
          <w:numId w:val="3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jc w:val="both"/>
        <w:rPr>
          <w:sz w:val="18"/>
          <w:szCs w:val="20"/>
        </w:rPr>
      </w:pPr>
      <w:r w:rsidRPr="00D6799B">
        <w:rPr>
          <w:sz w:val="18"/>
          <w:szCs w:val="20"/>
        </w:rPr>
        <w:t>Pugh MJ, Swan AA, Amuan ME, Eapen BC, Jaramillo CA, Delgado R, Tate DF, Yaffe K, Wang CP. Deployment, suicide, and overdose among comorbidity phenotypes following mild traumatic brain injury: A retrospective cohort study from the Chronic Effects of Neurotrauma Consortium. PLoS One. 2019 Sep 20;14(9):e0222674. doi: 10.1371/journal.pone.0222674. PMID: 31539410; PMCID: PMC6754132.</w:t>
      </w:r>
    </w:p>
    <w:p w14:paraId="778BDB2A" w14:textId="7C08BBEA" w:rsidR="007D2E0A" w:rsidRPr="00CD6231" w:rsidRDefault="00A54B95" w:rsidP="00F55322">
      <w:pPr>
        <w:pStyle w:val="ListParagraph"/>
        <w:numPr>
          <w:ilvl w:val="0"/>
          <w:numId w:val="34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jc w:val="both"/>
        <w:rPr>
          <w:sz w:val="18"/>
          <w:szCs w:val="20"/>
        </w:rPr>
      </w:pPr>
      <w:r w:rsidRPr="00774347">
        <w:rPr>
          <w:sz w:val="18"/>
          <w:szCs w:val="20"/>
        </w:rPr>
        <w:t>Byers, A. L., Li, Y., Barnes, D. E., Seal, K. H., Boscardin, W. J., &amp; Yaffe, K. (2019). A national study of TBI and risk of suicide and unintended death by overdose and firearms. Brain Injury, 34(3), 328-334. doi:10.1080/02699052.2019.1701708</w:t>
      </w:r>
    </w:p>
    <w:p w14:paraId="38C98C72" w14:textId="77777777" w:rsidR="00D52071" w:rsidRDefault="00D52071" w:rsidP="00D52071">
      <w:pPr>
        <w:spacing w:after="0" w:line="240" w:lineRule="auto"/>
        <w:rPr>
          <w:szCs w:val="24"/>
        </w:rPr>
      </w:pPr>
    </w:p>
    <w:p w14:paraId="271DC2D2" w14:textId="77777777" w:rsidR="00D52071" w:rsidRPr="00A720FD" w:rsidRDefault="00D52071" w:rsidP="00D52071">
      <w:p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003F72"/>
        <w:spacing w:after="0" w:line="240" w:lineRule="auto"/>
        <w:jc w:val="both"/>
        <w:rPr>
          <w:sz w:val="18"/>
          <w:szCs w:val="20"/>
        </w:rPr>
      </w:pPr>
      <w:r w:rsidRPr="00CD6231">
        <w:rPr>
          <w:i/>
          <w:sz w:val="18"/>
          <w:szCs w:val="20"/>
        </w:rPr>
        <w:t>LIMBIC-CENC research and its KT products were supported financially by the Department of Defense, Chronic Effects of Neurotrauma Consortium (CENC) Award W81XWH-13-2-0095 and Department of Veterans Affairs CENC Award I01 CX001135.  Any opinions, findings, conclusions or recommendations expressed in this publication are those of the author(s) and do not necessarily</w:t>
      </w:r>
      <w:r w:rsidRPr="00A720FD">
        <w:rPr>
          <w:i/>
          <w:sz w:val="18"/>
          <w:szCs w:val="20"/>
        </w:rPr>
        <w:t xml:space="preserve"> reflect the views of the U.S. Government or the U.S. Department of Veterans Affairs, and no official endorsement should be inferred.</w:t>
      </w:r>
      <w:bookmarkStart w:id="0" w:name="_GoBack"/>
      <w:bookmarkEnd w:id="0"/>
    </w:p>
    <w:sectPr w:rsidR="00D52071" w:rsidRPr="00A720FD" w:rsidSect="001D5B1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38E2" w14:textId="77777777" w:rsidR="00E22A10" w:rsidRDefault="00E22A10" w:rsidP="004C0DF1">
      <w:pPr>
        <w:spacing w:after="0" w:line="240" w:lineRule="auto"/>
      </w:pPr>
      <w:r>
        <w:separator/>
      </w:r>
    </w:p>
  </w:endnote>
  <w:endnote w:type="continuationSeparator" w:id="0">
    <w:p w14:paraId="1CF3CF07" w14:textId="77777777" w:rsidR="00E22A10" w:rsidRDefault="00E22A10" w:rsidP="004C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169526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B8F48" w14:textId="4B31592D" w:rsidR="008F3B99" w:rsidRPr="004C0DF1" w:rsidRDefault="008F3B99">
        <w:pPr>
          <w:pStyle w:val="Footer"/>
          <w:jc w:val="right"/>
          <w:rPr>
            <w:i/>
          </w:rPr>
        </w:pPr>
        <w:r w:rsidRPr="004C0DF1">
          <w:rPr>
            <w:i/>
          </w:rPr>
          <w:t xml:space="preserve">  LIMBIC-CENC Clinical Care Monograph</w:t>
        </w:r>
        <w:r>
          <w:rPr>
            <w:i/>
          </w:rPr>
          <w:t xml:space="preserve">      </w:t>
        </w:r>
        <w:r w:rsidRPr="004C0DF1">
          <w:rPr>
            <w:i/>
          </w:rPr>
          <w:t xml:space="preserve"> </w:t>
        </w:r>
        <w:r w:rsidRPr="004C0DF1">
          <w:rPr>
            <w:i/>
          </w:rPr>
          <w:fldChar w:fldCharType="begin"/>
        </w:r>
        <w:r w:rsidRPr="004C0DF1">
          <w:rPr>
            <w:i/>
          </w:rPr>
          <w:instrText xml:space="preserve"> PAGE   \* MERGEFORMAT </w:instrText>
        </w:r>
        <w:r w:rsidRPr="004C0DF1">
          <w:rPr>
            <w:i/>
          </w:rPr>
          <w:fldChar w:fldCharType="separate"/>
        </w:r>
        <w:r w:rsidRPr="004C0DF1">
          <w:rPr>
            <w:i/>
            <w:noProof/>
          </w:rPr>
          <w:t>2</w:t>
        </w:r>
        <w:r w:rsidRPr="004C0DF1">
          <w:rPr>
            <w:i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A40A2" w14:textId="77777777" w:rsidR="00E22A10" w:rsidRDefault="00E22A10" w:rsidP="004C0DF1">
      <w:pPr>
        <w:spacing w:after="0" w:line="240" w:lineRule="auto"/>
      </w:pPr>
      <w:r>
        <w:separator/>
      </w:r>
    </w:p>
  </w:footnote>
  <w:footnote w:type="continuationSeparator" w:id="0">
    <w:p w14:paraId="431A16CF" w14:textId="77777777" w:rsidR="00E22A10" w:rsidRDefault="00E22A10" w:rsidP="004C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F44"/>
    <w:multiLevelType w:val="hybridMultilevel"/>
    <w:tmpl w:val="43F6A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A0D52FF"/>
    <w:multiLevelType w:val="hybridMultilevel"/>
    <w:tmpl w:val="8D6E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799"/>
    <w:multiLevelType w:val="hybridMultilevel"/>
    <w:tmpl w:val="052CA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18B"/>
    <w:multiLevelType w:val="hybridMultilevel"/>
    <w:tmpl w:val="04860B12"/>
    <w:lvl w:ilvl="0" w:tplc="4824E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4A3788"/>
    <w:multiLevelType w:val="hybridMultilevel"/>
    <w:tmpl w:val="60703494"/>
    <w:lvl w:ilvl="0" w:tplc="837CD4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129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653DD"/>
    <w:multiLevelType w:val="hybridMultilevel"/>
    <w:tmpl w:val="85B2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40DD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933FAD"/>
    <w:multiLevelType w:val="hybridMultilevel"/>
    <w:tmpl w:val="20BE67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20D7E07"/>
    <w:multiLevelType w:val="hybridMultilevel"/>
    <w:tmpl w:val="DE644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6C3E"/>
    <w:multiLevelType w:val="hybridMultilevel"/>
    <w:tmpl w:val="9E187738"/>
    <w:lvl w:ilvl="0" w:tplc="8AE60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E6CE2"/>
    <w:multiLevelType w:val="hybridMultilevel"/>
    <w:tmpl w:val="C7EA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01F6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F55B1E"/>
    <w:multiLevelType w:val="hybridMultilevel"/>
    <w:tmpl w:val="A1F24992"/>
    <w:lvl w:ilvl="0" w:tplc="230255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4B7E"/>
    <w:multiLevelType w:val="hybridMultilevel"/>
    <w:tmpl w:val="8FD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EC3"/>
    <w:multiLevelType w:val="hybridMultilevel"/>
    <w:tmpl w:val="D12060D8"/>
    <w:lvl w:ilvl="0" w:tplc="4AD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542A"/>
    <w:multiLevelType w:val="hybridMultilevel"/>
    <w:tmpl w:val="46AC9E94"/>
    <w:lvl w:ilvl="0" w:tplc="4014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86AD1"/>
    <w:multiLevelType w:val="hybridMultilevel"/>
    <w:tmpl w:val="5A46A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0822AD"/>
    <w:multiLevelType w:val="hybridMultilevel"/>
    <w:tmpl w:val="FD0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469BC"/>
    <w:multiLevelType w:val="hybridMultilevel"/>
    <w:tmpl w:val="674A11C6"/>
    <w:lvl w:ilvl="0" w:tplc="548CD4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A2C6A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342D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B20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BC0E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302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A06C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DE30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2012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802326B"/>
    <w:multiLevelType w:val="hybridMultilevel"/>
    <w:tmpl w:val="F05C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809E0"/>
    <w:multiLevelType w:val="hybridMultilevel"/>
    <w:tmpl w:val="4A26F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4C4891"/>
    <w:multiLevelType w:val="hybridMultilevel"/>
    <w:tmpl w:val="2820AD16"/>
    <w:lvl w:ilvl="0" w:tplc="38E03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66222"/>
    <w:multiLevelType w:val="hybridMultilevel"/>
    <w:tmpl w:val="01962A98"/>
    <w:lvl w:ilvl="0" w:tplc="D452F5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3E1E4D"/>
    <w:multiLevelType w:val="hybridMultilevel"/>
    <w:tmpl w:val="39304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447FC"/>
    <w:multiLevelType w:val="hybridMultilevel"/>
    <w:tmpl w:val="BFF25F58"/>
    <w:lvl w:ilvl="0" w:tplc="1D26A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FB0438"/>
    <w:multiLevelType w:val="hybridMultilevel"/>
    <w:tmpl w:val="30CA1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47287"/>
    <w:multiLevelType w:val="hybridMultilevel"/>
    <w:tmpl w:val="CCB86670"/>
    <w:lvl w:ilvl="0" w:tplc="1D26A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BB79A1"/>
    <w:multiLevelType w:val="hybridMultilevel"/>
    <w:tmpl w:val="C6D46AC0"/>
    <w:lvl w:ilvl="0" w:tplc="5CE06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1D2F"/>
    <w:multiLevelType w:val="hybridMultilevel"/>
    <w:tmpl w:val="BA3042C8"/>
    <w:lvl w:ilvl="0" w:tplc="38E0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70481"/>
    <w:multiLevelType w:val="multilevel"/>
    <w:tmpl w:val="EBD0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8F05D1"/>
    <w:multiLevelType w:val="hybridMultilevel"/>
    <w:tmpl w:val="8460DC3A"/>
    <w:lvl w:ilvl="0" w:tplc="AAF60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B6AB4"/>
    <w:multiLevelType w:val="hybridMultilevel"/>
    <w:tmpl w:val="78B65086"/>
    <w:lvl w:ilvl="0" w:tplc="A04AAC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33F78AA"/>
    <w:multiLevelType w:val="hybridMultilevel"/>
    <w:tmpl w:val="CC1CE3F4"/>
    <w:lvl w:ilvl="0" w:tplc="5A76F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76CB7"/>
    <w:multiLevelType w:val="hybridMultilevel"/>
    <w:tmpl w:val="FB96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5B7549"/>
    <w:multiLevelType w:val="hybridMultilevel"/>
    <w:tmpl w:val="92044A26"/>
    <w:lvl w:ilvl="0" w:tplc="38E0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047F4"/>
    <w:multiLevelType w:val="hybridMultilevel"/>
    <w:tmpl w:val="5D3A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12238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FD15A59"/>
    <w:multiLevelType w:val="hybridMultilevel"/>
    <w:tmpl w:val="B31A91E0"/>
    <w:lvl w:ilvl="0" w:tplc="54A255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32"/>
  </w:num>
  <w:num w:numId="5">
    <w:abstractNumId w:val="8"/>
  </w:num>
  <w:num w:numId="6">
    <w:abstractNumId w:val="17"/>
  </w:num>
  <w:num w:numId="7">
    <w:abstractNumId w:val="16"/>
  </w:num>
  <w:num w:numId="8">
    <w:abstractNumId w:val="33"/>
  </w:num>
  <w:num w:numId="9">
    <w:abstractNumId w:val="20"/>
  </w:num>
  <w:num w:numId="10">
    <w:abstractNumId w:val="29"/>
  </w:num>
  <w:num w:numId="11">
    <w:abstractNumId w:val="34"/>
  </w:num>
  <w:num w:numId="12">
    <w:abstractNumId w:val="35"/>
  </w:num>
  <w:num w:numId="13">
    <w:abstractNumId w:val="24"/>
  </w:num>
  <w:num w:numId="14">
    <w:abstractNumId w:val="22"/>
  </w:num>
  <w:num w:numId="15">
    <w:abstractNumId w:val="1"/>
  </w:num>
  <w:num w:numId="16">
    <w:abstractNumId w:val="28"/>
  </w:num>
  <w:num w:numId="17">
    <w:abstractNumId w:val="2"/>
  </w:num>
  <w:num w:numId="18">
    <w:abstractNumId w:val="30"/>
  </w:num>
  <w:num w:numId="19">
    <w:abstractNumId w:val="26"/>
  </w:num>
  <w:num w:numId="20">
    <w:abstractNumId w:val="15"/>
  </w:num>
  <w:num w:numId="21">
    <w:abstractNumId w:val="36"/>
  </w:num>
  <w:num w:numId="22">
    <w:abstractNumId w:val="11"/>
  </w:num>
  <w:num w:numId="23">
    <w:abstractNumId w:val="4"/>
  </w:num>
  <w:num w:numId="24">
    <w:abstractNumId w:val="21"/>
  </w:num>
  <w:num w:numId="25">
    <w:abstractNumId w:val="19"/>
  </w:num>
  <w:num w:numId="26">
    <w:abstractNumId w:val="0"/>
  </w:num>
  <w:num w:numId="27">
    <w:abstractNumId w:val="31"/>
  </w:num>
  <w:num w:numId="28">
    <w:abstractNumId w:val="3"/>
  </w:num>
  <w:num w:numId="29">
    <w:abstractNumId w:val="38"/>
  </w:num>
  <w:num w:numId="30">
    <w:abstractNumId w:val="23"/>
  </w:num>
  <w:num w:numId="31">
    <w:abstractNumId w:val="12"/>
  </w:num>
  <w:num w:numId="32">
    <w:abstractNumId w:val="18"/>
  </w:num>
  <w:num w:numId="33">
    <w:abstractNumId w:val="27"/>
  </w:num>
  <w:num w:numId="34">
    <w:abstractNumId w:val="10"/>
  </w:num>
  <w:num w:numId="35">
    <w:abstractNumId w:val="25"/>
  </w:num>
  <w:num w:numId="36">
    <w:abstractNumId w:val="37"/>
  </w:num>
  <w:num w:numId="37">
    <w:abstractNumId w:val="5"/>
  </w:num>
  <w:num w:numId="38">
    <w:abstractNumId w:val="7"/>
  </w:num>
  <w:num w:numId="3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89"/>
    <w:rsid w:val="00000EDC"/>
    <w:rsid w:val="00001E93"/>
    <w:rsid w:val="00002A0E"/>
    <w:rsid w:val="00003A36"/>
    <w:rsid w:val="00006379"/>
    <w:rsid w:val="000066E5"/>
    <w:rsid w:val="000068B5"/>
    <w:rsid w:val="00010B91"/>
    <w:rsid w:val="00012DF3"/>
    <w:rsid w:val="00015CC9"/>
    <w:rsid w:val="00020E0E"/>
    <w:rsid w:val="0002436C"/>
    <w:rsid w:val="0002449A"/>
    <w:rsid w:val="000265DF"/>
    <w:rsid w:val="000304A8"/>
    <w:rsid w:val="000323B9"/>
    <w:rsid w:val="00034A79"/>
    <w:rsid w:val="00041A52"/>
    <w:rsid w:val="00045F0E"/>
    <w:rsid w:val="000470C1"/>
    <w:rsid w:val="0004716D"/>
    <w:rsid w:val="000519E3"/>
    <w:rsid w:val="000547AE"/>
    <w:rsid w:val="0005589F"/>
    <w:rsid w:val="00063091"/>
    <w:rsid w:val="00064F78"/>
    <w:rsid w:val="00072A1A"/>
    <w:rsid w:val="00082C16"/>
    <w:rsid w:val="0008385F"/>
    <w:rsid w:val="00085407"/>
    <w:rsid w:val="00087270"/>
    <w:rsid w:val="00095602"/>
    <w:rsid w:val="000A0C7B"/>
    <w:rsid w:val="000A19A7"/>
    <w:rsid w:val="000A3761"/>
    <w:rsid w:val="000A4334"/>
    <w:rsid w:val="000A52B3"/>
    <w:rsid w:val="000A5AE2"/>
    <w:rsid w:val="000A73CA"/>
    <w:rsid w:val="000B4997"/>
    <w:rsid w:val="000B6C25"/>
    <w:rsid w:val="000C55B8"/>
    <w:rsid w:val="000D3586"/>
    <w:rsid w:val="000D7612"/>
    <w:rsid w:val="000E0E76"/>
    <w:rsid w:val="000E2D53"/>
    <w:rsid w:val="000E369B"/>
    <w:rsid w:val="000E6C53"/>
    <w:rsid w:val="000F476E"/>
    <w:rsid w:val="000F7DB4"/>
    <w:rsid w:val="0010090C"/>
    <w:rsid w:val="00102645"/>
    <w:rsid w:val="00102931"/>
    <w:rsid w:val="00103261"/>
    <w:rsid w:val="00106606"/>
    <w:rsid w:val="00107EAB"/>
    <w:rsid w:val="001100A4"/>
    <w:rsid w:val="00115ADD"/>
    <w:rsid w:val="00116955"/>
    <w:rsid w:val="00117655"/>
    <w:rsid w:val="001306C0"/>
    <w:rsid w:val="001320CF"/>
    <w:rsid w:val="00133391"/>
    <w:rsid w:val="00134BFA"/>
    <w:rsid w:val="00136FFD"/>
    <w:rsid w:val="0013782F"/>
    <w:rsid w:val="00140F7D"/>
    <w:rsid w:val="00141B76"/>
    <w:rsid w:val="00146148"/>
    <w:rsid w:val="001540D4"/>
    <w:rsid w:val="001608A6"/>
    <w:rsid w:val="00161164"/>
    <w:rsid w:val="0016215B"/>
    <w:rsid w:val="00165398"/>
    <w:rsid w:val="00165FB6"/>
    <w:rsid w:val="0017013C"/>
    <w:rsid w:val="00171782"/>
    <w:rsid w:val="00174384"/>
    <w:rsid w:val="00174634"/>
    <w:rsid w:val="001820A4"/>
    <w:rsid w:val="00185446"/>
    <w:rsid w:val="001862A6"/>
    <w:rsid w:val="001869E7"/>
    <w:rsid w:val="0019217E"/>
    <w:rsid w:val="00194743"/>
    <w:rsid w:val="00196581"/>
    <w:rsid w:val="0019683D"/>
    <w:rsid w:val="001A12DC"/>
    <w:rsid w:val="001A4895"/>
    <w:rsid w:val="001A4A33"/>
    <w:rsid w:val="001A624E"/>
    <w:rsid w:val="001A71D4"/>
    <w:rsid w:val="001B19EA"/>
    <w:rsid w:val="001B5940"/>
    <w:rsid w:val="001B72B0"/>
    <w:rsid w:val="001C02FD"/>
    <w:rsid w:val="001C1959"/>
    <w:rsid w:val="001C6F49"/>
    <w:rsid w:val="001C7A40"/>
    <w:rsid w:val="001D1C3A"/>
    <w:rsid w:val="001D58AE"/>
    <w:rsid w:val="001D5B1C"/>
    <w:rsid w:val="001E2A1D"/>
    <w:rsid w:val="001E606A"/>
    <w:rsid w:val="001E6AEC"/>
    <w:rsid w:val="001F004B"/>
    <w:rsid w:val="001F300C"/>
    <w:rsid w:val="001F4778"/>
    <w:rsid w:val="001F47A4"/>
    <w:rsid w:val="001F49A4"/>
    <w:rsid w:val="00200D35"/>
    <w:rsid w:val="002043CA"/>
    <w:rsid w:val="00206F5B"/>
    <w:rsid w:val="0020735D"/>
    <w:rsid w:val="002074C0"/>
    <w:rsid w:val="0021275C"/>
    <w:rsid w:val="00213F71"/>
    <w:rsid w:val="00216618"/>
    <w:rsid w:val="00220622"/>
    <w:rsid w:val="0022210B"/>
    <w:rsid w:val="00222DD4"/>
    <w:rsid w:val="002259F8"/>
    <w:rsid w:val="0022797A"/>
    <w:rsid w:val="00230179"/>
    <w:rsid w:val="00233835"/>
    <w:rsid w:val="00235F0E"/>
    <w:rsid w:val="00237FD1"/>
    <w:rsid w:val="00241332"/>
    <w:rsid w:val="00241348"/>
    <w:rsid w:val="00242454"/>
    <w:rsid w:val="00250DEE"/>
    <w:rsid w:val="002717B1"/>
    <w:rsid w:val="00272029"/>
    <w:rsid w:val="00276442"/>
    <w:rsid w:val="00276EF7"/>
    <w:rsid w:val="00280D64"/>
    <w:rsid w:val="00281BEB"/>
    <w:rsid w:val="00283F8B"/>
    <w:rsid w:val="002908A7"/>
    <w:rsid w:val="002926F4"/>
    <w:rsid w:val="0029283E"/>
    <w:rsid w:val="0029288D"/>
    <w:rsid w:val="00292AC6"/>
    <w:rsid w:val="002962C4"/>
    <w:rsid w:val="002A1F41"/>
    <w:rsid w:val="002A3273"/>
    <w:rsid w:val="002A6556"/>
    <w:rsid w:val="002A7439"/>
    <w:rsid w:val="002A7A41"/>
    <w:rsid w:val="002B0952"/>
    <w:rsid w:val="002B0FDA"/>
    <w:rsid w:val="002B2DE1"/>
    <w:rsid w:val="002B3E26"/>
    <w:rsid w:val="002B643A"/>
    <w:rsid w:val="002B6A7D"/>
    <w:rsid w:val="002B78F9"/>
    <w:rsid w:val="002C5923"/>
    <w:rsid w:val="002C5BB4"/>
    <w:rsid w:val="002C76EE"/>
    <w:rsid w:val="002D2F07"/>
    <w:rsid w:val="002D6A71"/>
    <w:rsid w:val="002E21E7"/>
    <w:rsid w:val="002E3B79"/>
    <w:rsid w:val="002E4A40"/>
    <w:rsid w:val="002E6B07"/>
    <w:rsid w:val="002F70EF"/>
    <w:rsid w:val="00303D88"/>
    <w:rsid w:val="0030491A"/>
    <w:rsid w:val="00306C38"/>
    <w:rsid w:val="00306D15"/>
    <w:rsid w:val="00310E68"/>
    <w:rsid w:val="003127D3"/>
    <w:rsid w:val="00313460"/>
    <w:rsid w:val="0031536C"/>
    <w:rsid w:val="00317744"/>
    <w:rsid w:val="00317ECB"/>
    <w:rsid w:val="00323050"/>
    <w:rsid w:val="003312B8"/>
    <w:rsid w:val="0033478E"/>
    <w:rsid w:val="00337CE5"/>
    <w:rsid w:val="003409EA"/>
    <w:rsid w:val="00342252"/>
    <w:rsid w:val="003443F0"/>
    <w:rsid w:val="00344EAE"/>
    <w:rsid w:val="00352982"/>
    <w:rsid w:val="00353F6C"/>
    <w:rsid w:val="003540CF"/>
    <w:rsid w:val="00354844"/>
    <w:rsid w:val="00356328"/>
    <w:rsid w:val="003621B9"/>
    <w:rsid w:val="00364FEC"/>
    <w:rsid w:val="0037107E"/>
    <w:rsid w:val="00374413"/>
    <w:rsid w:val="0037625F"/>
    <w:rsid w:val="003839F4"/>
    <w:rsid w:val="003875A9"/>
    <w:rsid w:val="00387E0A"/>
    <w:rsid w:val="00391BE4"/>
    <w:rsid w:val="00394619"/>
    <w:rsid w:val="00396976"/>
    <w:rsid w:val="00397640"/>
    <w:rsid w:val="003A5440"/>
    <w:rsid w:val="003A7859"/>
    <w:rsid w:val="003A7AD8"/>
    <w:rsid w:val="003B0891"/>
    <w:rsid w:val="003B524C"/>
    <w:rsid w:val="003B61D0"/>
    <w:rsid w:val="003B63B1"/>
    <w:rsid w:val="003C091D"/>
    <w:rsid w:val="003C1314"/>
    <w:rsid w:val="003C3116"/>
    <w:rsid w:val="003C6422"/>
    <w:rsid w:val="003D1901"/>
    <w:rsid w:val="003E2B08"/>
    <w:rsid w:val="003F0CBB"/>
    <w:rsid w:val="003F3A5D"/>
    <w:rsid w:val="003F5FB6"/>
    <w:rsid w:val="00400847"/>
    <w:rsid w:val="00403CC7"/>
    <w:rsid w:val="004066C6"/>
    <w:rsid w:val="0040696C"/>
    <w:rsid w:val="00410C1E"/>
    <w:rsid w:val="00415000"/>
    <w:rsid w:val="0041524F"/>
    <w:rsid w:val="00420979"/>
    <w:rsid w:val="00421559"/>
    <w:rsid w:val="00423CDB"/>
    <w:rsid w:val="00433BDE"/>
    <w:rsid w:val="00435368"/>
    <w:rsid w:val="0043786F"/>
    <w:rsid w:val="00440053"/>
    <w:rsid w:val="00442E5E"/>
    <w:rsid w:val="00444D4E"/>
    <w:rsid w:val="004459BD"/>
    <w:rsid w:val="00451F61"/>
    <w:rsid w:val="00456294"/>
    <w:rsid w:val="0046122E"/>
    <w:rsid w:val="00462ADF"/>
    <w:rsid w:val="00463C99"/>
    <w:rsid w:val="00467B82"/>
    <w:rsid w:val="00471DBC"/>
    <w:rsid w:val="00474E4C"/>
    <w:rsid w:val="00482573"/>
    <w:rsid w:val="004905D0"/>
    <w:rsid w:val="00497731"/>
    <w:rsid w:val="004A25FF"/>
    <w:rsid w:val="004B2490"/>
    <w:rsid w:val="004B7C98"/>
    <w:rsid w:val="004C0DF1"/>
    <w:rsid w:val="004C0EB3"/>
    <w:rsid w:val="004C4C5A"/>
    <w:rsid w:val="004D4798"/>
    <w:rsid w:val="004D51FA"/>
    <w:rsid w:val="004D5B13"/>
    <w:rsid w:val="004D77E0"/>
    <w:rsid w:val="004D7D6D"/>
    <w:rsid w:val="004E1722"/>
    <w:rsid w:val="004E249F"/>
    <w:rsid w:val="004F251D"/>
    <w:rsid w:val="004F31B1"/>
    <w:rsid w:val="004F36F7"/>
    <w:rsid w:val="004F412F"/>
    <w:rsid w:val="0050033A"/>
    <w:rsid w:val="005019B3"/>
    <w:rsid w:val="00502464"/>
    <w:rsid w:val="00504E37"/>
    <w:rsid w:val="00505E4E"/>
    <w:rsid w:val="00507DEA"/>
    <w:rsid w:val="00510027"/>
    <w:rsid w:val="00513C3F"/>
    <w:rsid w:val="005145A1"/>
    <w:rsid w:val="0052018F"/>
    <w:rsid w:val="005221C7"/>
    <w:rsid w:val="00523DF9"/>
    <w:rsid w:val="0052625A"/>
    <w:rsid w:val="00530BB8"/>
    <w:rsid w:val="00531483"/>
    <w:rsid w:val="00534CF9"/>
    <w:rsid w:val="00535536"/>
    <w:rsid w:val="005410E5"/>
    <w:rsid w:val="005417D8"/>
    <w:rsid w:val="00541A92"/>
    <w:rsid w:val="00541F34"/>
    <w:rsid w:val="0054227A"/>
    <w:rsid w:val="005427F4"/>
    <w:rsid w:val="00543DC2"/>
    <w:rsid w:val="0054452B"/>
    <w:rsid w:val="00544FFB"/>
    <w:rsid w:val="0055182C"/>
    <w:rsid w:val="005525D2"/>
    <w:rsid w:val="005543D0"/>
    <w:rsid w:val="00560E58"/>
    <w:rsid w:val="00563977"/>
    <w:rsid w:val="0056454A"/>
    <w:rsid w:val="00566F34"/>
    <w:rsid w:val="00567C71"/>
    <w:rsid w:val="00567E17"/>
    <w:rsid w:val="0057024D"/>
    <w:rsid w:val="00575D63"/>
    <w:rsid w:val="005771C3"/>
    <w:rsid w:val="00580FED"/>
    <w:rsid w:val="00583948"/>
    <w:rsid w:val="00584E22"/>
    <w:rsid w:val="005903F8"/>
    <w:rsid w:val="00594BEB"/>
    <w:rsid w:val="005977A5"/>
    <w:rsid w:val="005A1298"/>
    <w:rsid w:val="005A44F8"/>
    <w:rsid w:val="005A462D"/>
    <w:rsid w:val="005A5A78"/>
    <w:rsid w:val="005A6BAC"/>
    <w:rsid w:val="005B0CFE"/>
    <w:rsid w:val="005B0D64"/>
    <w:rsid w:val="005B23F4"/>
    <w:rsid w:val="005B365D"/>
    <w:rsid w:val="005B52AA"/>
    <w:rsid w:val="005B55D4"/>
    <w:rsid w:val="005C1BF0"/>
    <w:rsid w:val="005C46FC"/>
    <w:rsid w:val="005C61E0"/>
    <w:rsid w:val="005C7E00"/>
    <w:rsid w:val="005D2013"/>
    <w:rsid w:val="005D30A4"/>
    <w:rsid w:val="005D3FAC"/>
    <w:rsid w:val="005D4E22"/>
    <w:rsid w:val="005D56AD"/>
    <w:rsid w:val="005D6685"/>
    <w:rsid w:val="005D69A2"/>
    <w:rsid w:val="005E0361"/>
    <w:rsid w:val="005E0A71"/>
    <w:rsid w:val="005E186B"/>
    <w:rsid w:val="005E1FD9"/>
    <w:rsid w:val="005E2CF2"/>
    <w:rsid w:val="005E4F3E"/>
    <w:rsid w:val="005E5FC5"/>
    <w:rsid w:val="005E6504"/>
    <w:rsid w:val="005E7092"/>
    <w:rsid w:val="005E7CC5"/>
    <w:rsid w:val="005F5631"/>
    <w:rsid w:val="005F5F5D"/>
    <w:rsid w:val="005F76A3"/>
    <w:rsid w:val="00603A63"/>
    <w:rsid w:val="006044DC"/>
    <w:rsid w:val="00606D76"/>
    <w:rsid w:val="006140D5"/>
    <w:rsid w:val="00615159"/>
    <w:rsid w:val="00616C77"/>
    <w:rsid w:val="00617CBA"/>
    <w:rsid w:val="00624BE8"/>
    <w:rsid w:val="00626D42"/>
    <w:rsid w:val="006306E0"/>
    <w:rsid w:val="00633BBB"/>
    <w:rsid w:val="00634C04"/>
    <w:rsid w:val="00637976"/>
    <w:rsid w:val="006404EA"/>
    <w:rsid w:val="00642A96"/>
    <w:rsid w:val="00646787"/>
    <w:rsid w:val="00646D01"/>
    <w:rsid w:val="00650BC0"/>
    <w:rsid w:val="00651ABF"/>
    <w:rsid w:val="00651ED4"/>
    <w:rsid w:val="00652E6B"/>
    <w:rsid w:val="006660EB"/>
    <w:rsid w:val="00667DB4"/>
    <w:rsid w:val="00670F9E"/>
    <w:rsid w:val="0067249B"/>
    <w:rsid w:val="00673FD1"/>
    <w:rsid w:val="00685088"/>
    <w:rsid w:val="00686A4D"/>
    <w:rsid w:val="0069221D"/>
    <w:rsid w:val="0069364E"/>
    <w:rsid w:val="00693669"/>
    <w:rsid w:val="00694409"/>
    <w:rsid w:val="006954E2"/>
    <w:rsid w:val="00696669"/>
    <w:rsid w:val="006A1161"/>
    <w:rsid w:val="006A4669"/>
    <w:rsid w:val="006A56E4"/>
    <w:rsid w:val="006A7A16"/>
    <w:rsid w:val="006B21CE"/>
    <w:rsid w:val="006B24DB"/>
    <w:rsid w:val="006B6358"/>
    <w:rsid w:val="006B6CA2"/>
    <w:rsid w:val="006C2344"/>
    <w:rsid w:val="006C5834"/>
    <w:rsid w:val="006C6043"/>
    <w:rsid w:val="006E5B92"/>
    <w:rsid w:val="006F0F71"/>
    <w:rsid w:val="0070105A"/>
    <w:rsid w:val="0071748E"/>
    <w:rsid w:val="007246D8"/>
    <w:rsid w:val="007257CA"/>
    <w:rsid w:val="0073021E"/>
    <w:rsid w:val="00732F64"/>
    <w:rsid w:val="00735532"/>
    <w:rsid w:val="007362E0"/>
    <w:rsid w:val="00743744"/>
    <w:rsid w:val="007442B8"/>
    <w:rsid w:val="00747371"/>
    <w:rsid w:val="00753D08"/>
    <w:rsid w:val="00755349"/>
    <w:rsid w:val="007620C0"/>
    <w:rsid w:val="00763AD5"/>
    <w:rsid w:val="00763C0B"/>
    <w:rsid w:val="0076430B"/>
    <w:rsid w:val="00767081"/>
    <w:rsid w:val="007676CD"/>
    <w:rsid w:val="00770472"/>
    <w:rsid w:val="00771A30"/>
    <w:rsid w:val="00774347"/>
    <w:rsid w:val="00775205"/>
    <w:rsid w:val="0078260E"/>
    <w:rsid w:val="007847C0"/>
    <w:rsid w:val="0079062D"/>
    <w:rsid w:val="00790AE0"/>
    <w:rsid w:val="0079155A"/>
    <w:rsid w:val="00792F26"/>
    <w:rsid w:val="007937BC"/>
    <w:rsid w:val="0079502A"/>
    <w:rsid w:val="00796731"/>
    <w:rsid w:val="00797B10"/>
    <w:rsid w:val="007A4CAE"/>
    <w:rsid w:val="007A4FB8"/>
    <w:rsid w:val="007B5E8F"/>
    <w:rsid w:val="007B6305"/>
    <w:rsid w:val="007B7318"/>
    <w:rsid w:val="007C0C46"/>
    <w:rsid w:val="007C1D1D"/>
    <w:rsid w:val="007C5683"/>
    <w:rsid w:val="007C6A8C"/>
    <w:rsid w:val="007D103F"/>
    <w:rsid w:val="007D1EB9"/>
    <w:rsid w:val="007D2E0A"/>
    <w:rsid w:val="007D42F1"/>
    <w:rsid w:val="007D4C80"/>
    <w:rsid w:val="007D4F01"/>
    <w:rsid w:val="007D7506"/>
    <w:rsid w:val="007E0FE4"/>
    <w:rsid w:val="007E43BF"/>
    <w:rsid w:val="007E4678"/>
    <w:rsid w:val="007F15A9"/>
    <w:rsid w:val="007F23BD"/>
    <w:rsid w:val="007F2918"/>
    <w:rsid w:val="007F2A9D"/>
    <w:rsid w:val="007F3F41"/>
    <w:rsid w:val="007F5520"/>
    <w:rsid w:val="007F7876"/>
    <w:rsid w:val="008025DA"/>
    <w:rsid w:val="008042C8"/>
    <w:rsid w:val="00807E74"/>
    <w:rsid w:val="00810FCC"/>
    <w:rsid w:val="00811132"/>
    <w:rsid w:val="0081208D"/>
    <w:rsid w:val="008136B8"/>
    <w:rsid w:val="0081438E"/>
    <w:rsid w:val="00816216"/>
    <w:rsid w:val="00821EE3"/>
    <w:rsid w:val="0082265D"/>
    <w:rsid w:val="00823BFD"/>
    <w:rsid w:val="00824A03"/>
    <w:rsid w:val="00825225"/>
    <w:rsid w:val="008262BC"/>
    <w:rsid w:val="008279F1"/>
    <w:rsid w:val="00833450"/>
    <w:rsid w:val="00835A24"/>
    <w:rsid w:val="00843AF4"/>
    <w:rsid w:val="00844305"/>
    <w:rsid w:val="00844674"/>
    <w:rsid w:val="00845636"/>
    <w:rsid w:val="0084658B"/>
    <w:rsid w:val="00850257"/>
    <w:rsid w:val="0085105E"/>
    <w:rsid w:val="008528D3"/>
    <w:rsid w:val="0085398C"/>
    <w:rsid w:val="00855DEF"/>
    <w:rsid w:val="00857218"/>
    <w:rsid w:val="00857BB7"/>
    <w:rsid w:val="00857EA1"/>
    <w:rsid w:val="00860023"/>
    <w:rsid w:val="0086623A"/>
    <w:rsid w:val="00872391"/>
    <w:rsid w:val="00873E89"/>
    <w:rsid w:val="008748A6"/>
    <w:rsid w:val="008753AD"/>
    <w:rsid w:val="00875726"/>
    <w:rsid w:val="00887506"/>
    <w:rsid w:val="008904FB"/>
    <w:rsid w:val="00890884"/>
    <w:rsid w:val="00891A27"/>
    <w:rsid w:val="00891FCF"/>
    <w:rsid w:val="00892D6E"/>
    <w:rsid w:val="0089527A"/>
    <w:rsid w:val="00896D1A"/>
    <w:rsid w:val="008B140A"/>
    <w:rsid w:val="008B1943"/>
    <w:rsid w:val="008B19E6"/>
    <w:rsid w:val="008B1D59"/>
    <w:rsid w:val="008B6319"/>
    <w:rsid w:val="008C1F53"/>
    <w:rsid w:val="008C3826"/>
    <w:rsid w:val="008C48E6"/>
    <w:rsid w:val="008C68B0"/>
    <w:rsid w:val="008D0372"/>
    <w:rsid w:val="008D087B"/>
    <w:rsid w:val="008D0DCA"/>
    <w:rsid w:val="008D265A"/>
    <w:rsid w:val="008D44D9"/>
    <w:rsid w:val="008D4A10"/>
    <w:rsid w:val="008E20B3"/>
    <w:rsid w:val="008E71BB"/>
    <w:rsid w:val="008E793F"/>
    <w:rsid w:val="008F15DD"/>
    <w:rsid w:val="008F2CB3"/>
    <w:rsid w:val="008F3B99"/>
    <w:rsid w:val="008F7DE0"/>
    <w:rsid w:val="00905D0D"/>
    <w:rsid w:val="00907672"/>
    <w:rsid w:val="00916725"/>
    <w:rsid w:val="009169D9"/>
    <w:rsid w:val="00916F73"/>
    <w:rsid w:val="009202EC"/>
    <w:rsid w:val="0092224D"/>
    <w:rsid w:val="00923D89"/>
    <w:rsid w:val="009246B9"/>
    <w:rsid w:val="009247F9"/>
    <w:rsid w:val="00927472"/>
    <w:rsid w:val="00930C3A"/>
    <w:rsid w:val="00931F5C"/>
    <w:rsid w:val="009329A8"/>
    <w:rsid w:val="00934FF1"/>
    <w:rsid w:val="00941488"/>
    <w:rsid w:val="009453D5"/>
    <w:rsid w:val="00947849"/>
    <w:rsid w:val="00955878"/>
    <w:rsid w:val="009566DF"/>
    <w:rsid w:val="00956EE7"/>
    <w:rsid w:val="00960952"/>
    <w:rsid w:val="009624C7"/>
    <w:rsid w:val="00962762"/>
    <w:rsid w:val="00962F7C"/>
    <w:rsid w:val="0096324D"/>
    <w:rsid w:val="0096399C"/>
    <w:rsid w:val="00963C1F"/>
    <w:rsid w:val="009664BB"/>
    <w:rsid w:val="00972259"/>
    <w:rsid w:val="009727F3"/>
    <w:rsid w:val="00972D6D"/>
    <w:rsid w:val="0097492B"/>
    <w:rsid w:val="00974CAB"/>
    <w:rsid w:val="00983E7F"/>
    <w:rsid w:val="00984062"/>
    <w:rsid w:val="0098773D"/>
    <w:rsid w:val="009955A3"/>
    <w:rsid w:val="00995EE8"/>
    <w:rsid w:val="00995F9C"/>
    <w:rsid w:val="009978FE"/>
    <w:rsid w:val="009A0218"/>
    <w:rsid w:val="009A5ECB"/>
    <w:rsid w:val="009A7862"/>
    <w:rsid w:val="009B70FB"/>
    <w:rsid w:val="009C0855"/>
    <w:rsid w:val="009C412D"/>
    <w:rsid w:val="009C5837"/>
    <w:rsid w:val="009D66CB"/>
    <w:rsid w:val="009E5373"/>
    <w:rsid w:val="009E5B45"/>
    <w:rsid w:val="009E624D"/>
    <w:rsid w:val="009F0B6B"/>
    <w:rsid w:val="009F1225"/>
    <w:rsid w:val="009F131B"/>
    <w:rsid w:val="009F79BC"/>
    <w:rsid w:val="00A0135A"/>
    <w:rsid w:val="00A027CD"/>
    <w:rsid w:val="00A12125"/>
    <w:rsid w:val="00A20EBD"/>
    <w:rsid w:val="00A2131F"/>
    <w:rsid w:val="00A2184B"/>
    <w:rsid w:val="00A248D9"/>
    <w:rsid w:val="00A25403"/>
    <w:rsid w:val="00A2599C"/>
    <w:rsid w:val="00A30748"/>
    <w:rsid w:val="00A34821"/>
    <w:rsid w:val="00A4365B"/>
    <w:rsid w:val="00A43EDF"/>
    <w:rsid w:val="00A44E9B"/>
    <w:rsid w:val="00A459C3"/>
    <w:rsid w:val="00A478FA"/>
    <w:rsid w:val="00A53D33"/>
    <w:rsid w:val="00A54B95"/>
    <w:rsid w:val="00A5779C"/>
    <w:rsid w:val="00A607EF"/>
    <w:rsid w:val="00A607F7"/>
    <w:rsid w:val="00A60D0C"/>
    <w:rsid w:val="00A6760A"/>
    <w:rsid w:val="00A70221"/>
    <w:rsid w:val="00A720FD"/>
    <w:rsid w:val="00A74799"/>
    <w:rsid w:val="00A7536E"/>
    <w:rsid w:val="00A76B30"/>
    <w:rsid w:val="00A866D1"/>
    <w:rsid w:val="00A91675"/>
    <w:rsid w:val="00A92A7E"/>
    <w:rsid w:val="00A9364F"/>
    <w:rsid w:val="00A95BC7"/>
    <w:rsid w:val="00A972E0"/>
    <w:rsid w:val="00A97D10"/>
    <w:rsid w:val="00AA2049"/>
    <w:rsid w:val="00AA32C5"/>
    <w:rsid w:val="00AA611C"/>
    <w:rsid w:val="00AA7C6A"/>
    <w:rsid w:val="00AB0590"/>
    <w:rsid w:val="00AB0BB4"/>
    <w:rsid w:val="00AB33B8"/>
    <w:rsid w:val="00AB5686"/>
    <w:rsid w:val="00AC2B27"/>
    <w:rsid w:val="00AC2C44"/>
    <w:rsid w:val="00AC600B"/>
    <w:rsid w:val="00AC757E"/>
    <w:rsid w:val="00AD03FE"/>
    <w:rsid w:val="00AD0DDD"/>
    <w:rsid w:val="00AD1AAB"/>
    <w:rsid w:val="00AD3022"/>
    <w:rsid w:val="00AD774E"/>
    <w:rsid w:val="00AE0A17"/>
    <w:rsid w:val="00AE1044"/>
    <w:rsid w:val="00AE38DF"/>
    <w:rsid w:val="00AE48B0"/>
    <w:rsid w:val="00AF38EA"/>
    <w:rsid w:val="00AF3A81"/>
    <w:rsid w:val="00AF4D7A"/>
    <w:rsid w:val="00AF62C9"/>
    <w:rsid w:val="00AF7343"/>
    <w:rsid w:val="00B07586"/>
    <w:rsid w:val="00B10C87"/>
    <w:rsid w:val="00B12F82"/>
    <w:rsid w:val="00B14D98"/>
    <w:rsid w:val="00B17870"/>
    <w:rsid w:val="00B236D3"/>
    <w:rsid w:val="00B23ECD"/>
    <w:rsid w:val="00B279F5"/>
    <w:rsid w:val="00B30B68"/>
    <w:rsid w:val="00B30CF7"/>
    <w:rsid w:val="00B31D33"/>
    <w:rsid w:val="00B36B3F"/>
    <w:rsid w:val="00B36C3B"/>
    <w:rsid w:val="00B37D11"/>
    <w:rsid w:val="00B37DBB"/>
    <w:rsid w:val="00B40929"/>
    <w:rsid w:val="00B42BC7"/>
    <w:rsid w:val="00B43581"/>
    <w:rsid w:val="00B52B20"/>
    <w:rsid w:val="00B56055"/>
    <w:rsid w:val="00B56F12"/>
    <w:rsid w:val="00B64A66"/>
    <w:rsid w:val="00B70678"/>
    <w:rsid w:val="00B727CC"/>
    <w:rsid w:val="00B727FF"/>
    <w:rsid w:val="00B80D08"/>
    <w:rsid w:val="00B84311"/>
    <w:rsid w:val="00B90B77"/>
    <w:rsid w:val="00B92B6C"/>
    <w:rsid w:val="00B93A30"/>
    <w:rsid w:val="00BA04B8"/>
    <w:rsid w:val="00BA0B0D"/>
    <w:rsid w:val="00BA4151"/>
    <w:rsid w:val="00BA6147"/>
    <w:rsid w:val="00BA682B"/>
    <w:rsid w:val="00BB0218"/>
    <w:rsid w:val="00BB32AD"/>
    <w:rsid w:val="00BC1ACC"/>
    <w:rsid w:val="00BC2BFD"/>
    <w:rsid w:val="00BC4A12"/>
    <w:rsid w:val="00BC4B77"/>
    <w:rsid w:val="00BC6E8D"/>
    <w:rsid w:val="00BC7BE2"/>
    <w:rsid w:val="00BC7C51"/>
    <w:rsid w:val="00BD205C"/>
    <w:rsid w:val="00BD2B52"/>
    <w:rsid w:val="00BD4059"/>
    <w:rsid w:val="00BD6A02"/>
    <w:rsid w:val="00BD75EB"/>
    <w:rsid w:val="00BE0F13"/>
    <w:rsid w:val="00BE22F2"/>
    <w:rsid w:val="00BE7D53"/>
    <w:rsid w:val="00BF4C8A"/>
    <w:rsid w:val="00C07743"/>
    <w:rsid w:val="00C11B2B"/>
    <w:rsid w:val="00C12811"/>
    <w:rsid w:val="00C166FD"/>
    <w:rsid w:val="00C20252"/>
    <w:rsid w:val="00C22F70"/>
    <w:rsid w:val="00C237D2"/>
    <w:rsid w:val="00C27699"/>
    <w:rsid w:val="00C31165"/>
    <w:rsid w:val="00C31C6F"/>
    <w:rsid w:val="00C3291E"/>
    <w:rsid w:val="00C32D1F"/>
    <w:rsid w:val="00C342AD"/>
    <w:rsid w:val="00C363FD"/>
    <w:rsid w:val="00C375EC"/>
    <w:rsid w:val="00C45602"/>
    <w:rsid w:val="00C45C2B"/>
    <w:rsid w:val="00C52028"/>
    <w:rsid w:val="00C52A34"/>
    <w:rsid w:val="00C634C5"/>
    <w:rsid w:val="00C65DB0"/>
    <w:rsid w:val="00C665E2"/>
    <w:rsid w:val="00C66ADA"/>
    <w:rsid w:val="00C711E1"/>
    <w:rsid w:val="00C71D37"/>
    <w:rsid w:val="00C74C55"/>
    <w:rsid w:val="00C765E9"/>
    <w:rsid w:val="00C76B1E"/>
    <w:rsid w:val="00C76CF8"/>
    <w:rsid w:val="00C80AE4"/>
    <w:rsid w:val="00C8191B"/>
    <w:rsid w:val="00C83F3E"/>
    <w:rsid w:val="00C842DE"/>
    <w:rsid w:val="00C8454D"/>
    <w:rsid w:val="00C862E9"/>
    <w:rsid w:val="00C87323"/>
    <w:rsid w:val="00C90D50"/>
    <w:rsid w:val="00C90D72"/>
    <w:rsid w:val="00C91A36"/>
    <w:rsid w:val="00C947F4"/>
    <w:rsid w:val="00C97BBD"/>
    <w:rsid w:val="00CA6A00"/>
    <w:rsid w:val="00CB12EA"/>
    <w:rsid w:val="00CB1372"/>
    <w:rsid w:val="00CB1888"/>
    <w:rsid w:val="00CB374E"/>
    <w:rsid w:val="00CB6BB3"/>
    <w:rsid w:val="00CC3753"/>
    <w:rsid w:val="00CC500C"/>
    <w:rsid w:val="00CD0871"/>
    <w:rsid w:val="00CD48C7"/>
    <w:rsid w:val="00CD6231"/>
    <w:rsid w:val="00CE51CF"/>
    <w:rsid w:val="00CF1180"/>
    <w:rsid w:val="00CF4433"/>
    <w:rsid w:val="00CF4AEC"/>
    <w:rsid w:val="00CF5166"/>
    <w:rsid w:val="00CF55B2"/>
    <w:rsid w:val="00CF6AFF"/>
    <w:rsid w:val="00D04DDB"/>
    <w:rsid w:val="00D06992"/>
    <w:rsid w:val="00D1031C"/>
    <w:rsid w:val="00D107EF"/>
    <w:rsid w:val="00D120D4"/>
    <w:rsid w:val="00D1368C"/>
    <w:rsid w:val="00D140C5"/>
    <w:rsid w:val="00D14D07"/>
    <w:rsid w:val="00D1657B"/>
    <w:rsid w:val="00D16DD2"/>
    <w:rsid w:val="00D20A2F"/>
    <w:rsid w:val="00D268D8"/>
    <w:rsid w:val="00D31764"/>
    <w:rsid w:val="00D31876"/>
    <w:rsid w:val="00D37456"/>
    <w:rsid w:val="00D378D2"/>
    <w:rsid w:val="00D40CC6"/>
    <w:rsid w:val="00D40D3D"/>
    <w:rsid w:val="00D41696"/>
    <w:rsid w:val="00D42CFF"/>
    <w:rsid w:val="00D52071"/>
    <w:rsid w:val="00D53356"/>
    <w:rsid w:val="00D5538A"/>
    <w:rsid w:val="00D571C2"/>
    <w:rsid w:val="00D57A60"/>
    <w:rsid w:val="00D63265"/>
    <w:rsid w:val="00D653B1"/>
    <w:rsid w:val="00D6799B"/>
    <w:rsid w:val="00D73BCB"/>
    <w:rsid w:val="00D81701"/>
    <w:rsid w:val="00D82195"/>
    <w:rsid w:val="00D87027"/>
    <w:rsid w:val="00D9070E"/>
    <w:rsid w:val="00D9084F"/>
    <w:rsid w:val="00D93330"/>
    <w:rsid w:val="00D94B79"/>
    <w:rsid w:val="00D95D37"/>
    <w:rsid w:val="00D95D61"/>
    <w:rsid w:val="00D96964"/>
    <w:rsid w:val="00DA00D0"/>
    <w:rsid w:val="00DA50D0"/>
    <w:rsid w:val="00DB1855"/>
    <w:rsid w:val="00DB3411"/>
    <w:rsid w:val="00DB3BC4"/>
    <w:rsid w:val="00DB62D1"/>
    <w:rsid w:val="00DB7EA7"/>
    <w:rsid w:val="00DC5DF6"/>
    <w:rsid w:val="00DC752D"/>
    <w:rsid w:val="00DD3931"/>
    <w:rsid w:val="00DE1484"/>
    <w:rsid w:val="00DE5918"/>
    <w:rsid w:val="00DE6405"/>
    <w:rsid w:val="00DF0AEE"/>
    <w:rsid w:val="00DF5271"/>
    <w:rsid w:val="00DF69C3"/>
    <w:rsid w:val="00DF7ED7"/>
    <w:rsid w:val="00E05538"/>
    <w:rsid w:val="00E103A5"/>
    <w:rsid w:val="00E1507B"/>
    <w:rsid w:val="00E16568"/>
    <w:rsid w:val="00E22A10"/>
    <w:rsid w:val="00E24A31"/>
    <w:rsid w:val="00E250AC"/>
    <w:rsid w:val="00E263D7"/>
    <w:rsid w:val="00E278C0"/>
    <w:rsid w:val="00E33398"/>
    <w:rsid w:val="00E348AC"/>
    <w:rsid w:val="00E3790C"/>
    <w:rsid w:val="00E4162B"/>
    <w:rsid w:val="00E43D2C"/>
    <w:rsid w:val="00E44C4D"/>
    <w:rsid w:val="00E45D9E"/>
    <w:rsid w:val="00E515D6"/>
    <w:rsid w:val="00E51CC7"/>
    <w:rsid w:val="00E62E13"/>
    <w:rsid w:val="00E63AC4"/>
    <w:rsid w:val="00E64986"/>
    <w:rsid w:val="00E663E8"/>
    <w:rsid w:val="00E7575B"/>
    <w:rsid w:val="00E75ACB"/>
    <w:rsid w:val="00E76D68"/>
    <w:rsid w:val="00E77B7F"/>
    <w:rsid w:val="00E82393"/>
    <w:rsid w:val="00E823FF"/>
    <w:rsid w:val="00E82913"/>
    <w:rsid w:val="00E852F2"/>
    <w:rsid w:val="00E85BDE"/>
    <w:rsid w:val="00E86424"/>
    <w:rsid w:val="00E86B79"/>
    <w:rsid w:val="00E94F1B"/>
    <w:rsid w:val="00E96CB7"/>
    <w:rsid w:val="00E96D2D"/>
    <w:rsid w:val="00E971E7"/>
    <w:rsid w:val="00E97977"/>
    <w:rsid w:val="00EA0865"/>
    <w:rsid w:val="00EA0989"/>
    <w:rsid w:val="00EA2620"/>
    <w:rsid w:val="00EA5502"/>
    <w:rsid w:val="00EA659B"/>
    <w:rsid w:val="00EC238A"/>
    <w:rsid w:val="00EC3EF6"/>
    <w:rsid w:val="00EC51AD"/>
    <w:rsid w:val="00EC63CB"/>
    <w:rsid w:val="00EC76CF"/>
    <w:rsid w:val="00EC7BB7"/>
    <w:rsid w:val="00EC7F1F"/>
    <w:rsid w:val="00EC7FE1"/>
    <w:rsid w:val="00ED1325"/>
    <w:rsid w:val="00EE0E84"/>
    <w:rsid w:val="00EE18BC"/>
    <w:rsid w:val="00EE1CAF"/>
    <w:rsid w:val="00EE3862"/>
    <w:rsid w:val="00EF11F6"/>
    <w:rsid w:val="00EF2394"/>
    <w:rsid w:val="00EF2536"/>
    <w:rsid w:val="00EF2AC6"/>
    <w:rsid w:val="00F00C64"/>
    <w:rsid w:val="00F016B9"/>
    <w:rsid w:val="00F01B9F"/>
    <w:rsid w:val="00F027DB"/>
    <w:rsid w:val="00F03D90"/>
    <w:rsid w:val="00F05609"/>
    <w:rsid w:val="00F07701"/>
    <w:rsid w:val="00F10469"/>
    <w:rsid w:val="00F1057F"/>
    <w:rsid w:val="00F14368"/>
    <w:rsid w:val="00F14DD2"/>
    <w:rsid w:val="00F17AB8"/>
    <w:rsid w:val="00F256F0"/>
    <w:rsid w:val="00F2622F"/>
    <w:rsid w:val="00F27CBC"/>
    <w:rsid w:val="00F32BDD"/>
    <w:rsid w:val="00F32FF3"/>
    <w:rsid w:val="00F37B5E"/>
    <w:rsid w:val="00F438FD"/>
    <w:rsid w:val="00F44ED6"/>
    <w:rsid w:val="00F47225"/>
    <w:rsid w:val="00F51B0A"/>
    <w:rsid w:val="00F55322"/>
    <w:rsid w:val="00F6086B"/>
    <w:rsid w:val="00F62AEC"/>
    <w:rsid w:val="00F71842"/>
    <w:rsid w:val="00F722A7"/>
    <w:rsid w:val="00F723B9"/>
    <w:rsid w:val="00F73A41"/>
    <w:rsid w:val="00F756C2"/>
    <w:rsid w:val="00F769D9"/>
    <w:rsid w:val="00F83A2E"/>
    <w:rsid w:val="00F84542"/>
    <w:rsid w:val="00F84B93"/>
    <w:rsid w:val="00F928BF"/>
    <w:rsid w:val="00F93118"/>
    <w:rsid w:val="00F932F3"/>
    <w:rsid w:val="00F9596C"/>
    <w:rsid w:val="00F96092"/>
    <w:rsid w:val="00F9647B"/>
    <w:rsid w:val="00FA3607"/>
    <w:rsid w:val="00FA6C3C"/>
    <w:rsid w:val="00FB02D4"/>
    <w:rsid w:val="00FB0CD1"/>
    <w:rsid w:val="00FB1608"/>
    <w:rsid w:val="00FB73C9"/>
    <w:rsid w:val="00FC1C28"/>
    <w:rsid w:val="00FC5736"/>
    <w:rsid w:val="00FD4281"/>
    <w:rsid w:val="00FD6DA3"/>
    <w:rsid w:val="00FE3AFC"/>
    <w:rsid w:val="00FE5176"/>
    <w:rsid w:val="00FE5505"/>
    <w:rsid w:val="00FF1121"/>
    <w:rsid w:val="00FF14A5"/>
    <w:rsid w:val="00FF30C2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F88D"/>
  <w15:chartTrackingRefBased/>
  <w15:docId w15:val="{20B0F19B-3F68-4361-B0B9-48F15C6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1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F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20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20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5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5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5C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930C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6C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9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5D0"/>
  </w:style>
  <w:style w:type="character" w:customStyle="1" w:styleId="style-111">
    <w:name w:val="style-111"/>
    <w:rsid w:val="00A91675"/>
    <w:rPr>
      <w:rFonts w:ascii="Times New Roman" w:hAnsi="Times New Roman" w:cs="Times New Roman" w:hint="default"/>
      <w:sz w:val="22"/>
      <w:szCs w:val="22"/>
    </w:rPr>
  </w:style>
  <w:style w:type="character" w:customStyle="1" w:styleId="style-151">
    <w:name w:val="style-151"/>
    <w:rsid w:val="00A9167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style-161">
    <w:name w:val="style-161"/>
    <w:rsid w:val="00A916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rc1">
    <w:name w:val="src1"/>
    <w:rsid w:val="00020E0E"/>
    <w:rPr>
      <w:vanish w:val="0"/>
      <w:webHidden w:val="0"/>
      <w:specVanish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C195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F1"/>
  </w:style>
  <w:style w:type="character" w:customStyle="1" w:styleId="Heading1Char">
    <w:name w:val="Heading 1 Char"/>
    <w:basedOn w:val="DefaultParagraphFont"/>
    <w:link w:val="Heading1"/>
    <w:uiPriority w:val="9"/>
    <w:rsid w:val="003153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1536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mbic-cenc.org/for-service-members-and-veterans-with-tbi/suicide-prevention-vetera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owledgetranslation.limbic-cenc.org/BrainHealthWellnessTool/BrainHealthWellnessToo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mbic-cenc.org/for-tbi-clinici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mbic-cenc.org/for-service-members-and-veterans-with-tbi/medical-conditions-vetera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William  C   RICVAMC</dc:creator>
  <cp:keywords/>
  <dc:description/>
  <cp:lastModifiedBy>Ronald Seel</cp:lastModifiedBy>
  <cp:revision>3</cp:revision>
  <cp:lastPrinted>2024-04-07T14:49:00Z</cp:lastPrinted>
  <dcterms:created xsi:type="dcterms:W3CDTF">2024-10-24T18:50:00Z</dcterms:created>
  <dcterms:modified xsi:type="dcterms:W3CDTF">2024-10-24T19:14:00Z</dcterms:modified>
</cp:coreProperties>
</file>