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14978" w14:textId="77777777" w:rsidR="003B0891" w:rsidRDefault="003B0891" w:rsidP="003B0891">
      <w:pPr>
        <w:spacing w:after="0" w:line="240" w:lineRule="auto"/>
        <w:jc w:val="right"/>
        <w:rPr>
          <w:b/>
          <w:color w:val="003F72"/>
          <w:sz w:val="28"/>
          <w:szCs w:val="28"/>
        </w:rPr>
      </w:pPr>
      <w:r>
        <w:rPr>
          <w:rFonts w:ascii="Arial" w:hAnsi="Arial"/>
          <w:noProof/>
          <w:color w:val="244061" w:themeColor="accent1" w:themeShade="80"/>
        </w:rPr>
        <mc:AlternateContent>
          <mc:Choice Requires="wps">
            <w:drawing>
              <wp:anchor distT="0" distB="0" distL="114300" distR="114300" simplePos="0" relativeHeight="251680768" behindDoc="0" locked="0" layoutInCell="1" allowOverlap="1" wp14:anchorId="66EA4DCF" wp14:editId="45B7E36D">
                <wp:simplePos x="0" y="0"/>
                <wp:positionH relativeFrom="margin">
                  <wp:posOffset>2806700</wp:posOffset>
                </wp:positionH>
                <wp:positionV relativeFrom="paragraph">
                  <wp:posOffset>-128905</wp:posOffset>
                </wp:positionV>
                <wp:extent cx="4206240" cy="914400"/>
                <wp:effectExtent l="0" t="0" r="3810" b="0"/>
                <wp:wrapNone/>
                <wp:docPr id="15" name="Text Box 15"/>
                <wp:cNvGraphicFramePr/>
                <a:graphic xmlns:a="http://schemas.openxmlformats.org/drawingml/2006/main">
                  <a:graphicData uri="http://schemas.microsoft.com/office/word/2010/wordprocessingShape">
                    <wps:wsp>
                      <wps:cNvSpPr txBox="1"/>
                      <wps:spPr>
                        <a:xfrm>
                          <a:off x="0" y="0"/>
                          <a:ext cx="4206240" cy="914400"/>
                        </a:xfrm>
                        <a:prstGeom prst="rect">
                          <a:avLst/>
                        </a:prstGeom>
                        <a:solidFill>
                          <a:schemeClr val="lt1"/>
                        </a:solidFill>
                        <a:ln w="6350">
                          <a:noFill/>
                        </a:ln>
                      </wps:spPr>
                      <wps:txbx>
                        <w:txbxContent>
                          <w:p w14:paraId="543333FE" w14:textId="58740348" w:rsidR="003B0891" w:rsidRPr="001D5B1C" w:rsidRDefault="003B0891" w:rsidP="003B0891">
                            <w:pPr>
                              <w:shd w:val="clear" w:color="auto" w:fill="DBE5F1" w:themeFill="accent1" w:themeFillTint="33"/>
                              <w:spacing w:after="0" w:line="240" w:lineRule="auto"/>
                              <w:rPr>
                                <w:b/>
                                <w:color w:val="003F72"/>
                                <w:sz w:val="28"/>
                                <w:szCs w:val="26"/>
                              </w:rPr>
                            </w:pPr>
                            <w:r w:rsidRPr="001D5B1C">
                              <w:rPr>
                                <w:b/>
                                <w:color w:val="003F72"/>
                                <w:sz w:val="28"/>
                                <w:szCs w:val="26"/>
                              </w:rPr>
                              <w:t xml:space="preserve">LIMBIC-CENC Clinical Care Monograph </w:t>
                            </w:r>
                            <w:r w:rsidR="00D71604">
                              <w:rPr>
                                <w:b/>
                                <w:color w:val="003F72"/>
                                <w:sz w:val="28"/>
                                <w:szCs w:val="26"/>
                              </w:rPr>
                              <w:t>Version 2</w:t>
                            </w:r>
                          </w:p>
                          <w:p w14:paraId="4B5E7C80" w14:textId="07BB2724" w:rsidR="003B0891" w:rsidRPr="001D5B1C" w:rsidRDefault="00D71604" w:rsidP="003B0891">
                            <w:pPr>
                              <w:shd w:val="clear" w:color="auto" w:fill="DBE5F1" w:themeFill="accent1" w:themeFillTint="33"/>
                              <w:spacing w:after="0" w:line="240" w:lineRule="auto"/>
                              <w:rPr>
                                <w:b/>
                                <w:color w:val="003F72"/>
                                <w:sz w:val="24"/>
                                <w:szCs w:val="26"/>
                              </w:rPr>
                            </w:pPr>
                            <w:r>
                              <w:rPr>
                                <w:b/>
                                <w:color w:val="003F72"/>
                                <w:sz w:val="28"/>
                                <w:szCs w:val="26"/>
                              </w:rPr>
                              <w:t>C</w:t>
                            </w:r>
                            <w:r w:rsidR="003B0891" w:rsidRPr="001D5B1C">
                              <w:rPr>
                                <w:b/>
                                <w:color w:val="003F72"/>
                                <w:sz w:val="28"/>
                                <w:szCs w:val="26"/>
                              </w:rPr>
                              <w:t xml:space="preserve">. </w:t>
                            </w:r>
                            <w:r>
                              <w:rPr>
                                <w:b/>
                                <w:color w:val="003F72"/>
                                <w:sz w:val="28"/>
                                <w:szCs w:val="26"/>
                              </w:rPr>
                              <w:t>M</w:t>
                            </w:r>
                            <w:r w:rsidR="003B0891" w:rsidRPr="001D5B1C">
                              <w:rPr>
                                <w:b/>
                                <w:color w:val="003F72"/>
                                <w:sz w:val="28"/>
                                <w:szCs w:val="26"/>
                              </w:rPr>
                              <w:t>TBI</w:t>
                            </w:r>
                            <w:r>
                              <w:rPr>
                                <w:b/>
                                <w:color w:val="003F72"/>
                                <w:sz w:val="28"/>
                                <w:szCs w:val="26"/>
                              </w:rPr>
                              <w:t>, Mental Health, and Persistent Symptoms</w:t>
                            </w:r>
                          </w:p>
                          <w:p w14:paraId="02DB238E" w14:textId="77777777" w:rsidR="003B0891" w:rsidRPr="001D5B1C" w:rsidRDefault="003B0891" w:rsidP="003B0891">
                            <w:pPr>
                              <w:shd w:val="clear" w:color="auto" w:fill="DBE5F1" w:themeFill="accent1" w:themeFillTint="33"/>
                              <w:spacing w:after="0" w:line="240" w:lineRule="auto"/>
                              <w:rPr>
                                <w:sz w:val="24"/>
                                <w:szCs w:val="26"/>
                              </w:rPr>
                            </w:pPr>
                            <w:r w:rsidRPr="001D5B1C">
                              <w:rPr>
                                <w:sz w:val="24"/>
                                <w:szCs w:val="26"/>
                              </w:rPr>
                              <w:t>from LIMBIC-CENC Knowledge Translation Center (LIMBIC</w:t>
                            </w:r>
                            <w:r w:rsidRPr="001D5B1C">
                              <w:rPr>
                                <w:sz w:val="24"/>
                                <w:szCs w:val="26"/>
                                <w:vertAlign w:val="superscript"/>
                              </w:rPr>
                              <w:t>TM</w:t>
                            </w:r>
                            <w:r w:rsidRPr="001D5B1C">
                              <w:rPr>
                                <w:sz w:val="24"/>
                                <w:szCs w:val="26"/>
                              </w:rPr>
                              <w:t>)</w:t>
                            </w:r>
                          </w:p>
                          <w:p w14:paraId="2BEFA507" w14:textId="77777777" w:rsidR="003B0891" w:rsidRPr="001D5B1C" w:rsidRDefault="003B0891" w:rsidP="003B0891">
                            <w:pPr>
                              <w:shd w:val="clear" w:color="auto" w:fill="DBE5F1" w:themeFill="accent1" w:themeFillTint="33"/>
                              <w:spacing w:after="0" w:line="240" w:lineRule="auto"/>
                              <w:rPr>
                                <w:b/>
                                <w:color w:val="003F72"/>
                                <w:sz w:val="24"/>
                                <w:szCs w:val="26"/>
                              </w:rPr>
                            </w:pPr>
                            <w:r w:rsidRPr="001D5B1C">
                              <w:rPr>
                                <w:sz w:val="24"/>
                                <w:szCs w:val="26"/>
                              </w:rPr>
                              <w:t>April 17, 2024, Richmond, 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EA4DCF" id="Text Box 15" o:spid="_x0000_s1028" type="#_x0000_t202" style="position:absolute;left:0;text-align:left;margin-left:221pt;margin-top:-10.15pt;width:331.2pt;height:1in;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" fillcolor="white [3201]" stroked="f" strokeweight=".5pt">
                <v:textbox>
                  <w:txbxContent>
                    <w:p w14:paraId="543333FE" w14:textId="58740348" w:rsidR="003B0891" w:rsidRPr="001D5B1C" w:rsidRDefault="003B0891" w:rsidP="003B0891">
                      <w:pPr>
                        <w:shd w:val="clear" w:color="auto" w:fill="DBE5F1" w:themeFill="accent1" w:themeFillTint="33"/>
                        <w:spacing w:after="0" w:line="240" w:lineRule="auto"/>
                        <w:rPr>
                          <w:b/>
                          <w:color w:val="003F72"/>
                          <w:sz w:val="28"/>
                          <w:szCs w:val="26"/>
                        </w:rPr>
                      </w:pPr>
                      <w:r w:rsidRPr="001D5B1C">
                        <w:rPr>
                          <w:b/>
                          <w:color w:val="003F72"/>
                          <w:sz w:val="28"/>
                          <w:szCs w:val="26"/>
                        </w:rPr>
                        <w:t xml:space="preserve">LIMBIC-CENC Clinical Care Monograph </w:t>
                      </w:r>
                      <w:r w:rsidR="00D71604">
                        <w:rPr>
                          <w:b/>
                          <w:color w:val="003F72"/>
                          <w:sz w:val="28"/>
                          <w:szCs w:val="26"/>
                        </w:rPr>
                        <w:t>Version 2</w:t>
                      </w:r>
                    </w:p>
                    <w:p w14:paraId="4B5E7C80" w14:textId="07BB2724" w:rsidR="003B0891" w:rsidRPr="001D5B1C" w:rsidRDefault="00D71604" w:rsidP="003B0891">
                      <w:pPr>
                        <w:shd w:val="clear" w:color="auto" w:fill="DBE5F1" w:themeFill="accent1" w:themeFillTint="33"/>
                        <w:spacing w:after="0" w:line="240" w:lineRule="auto"/>
                        <w:rPr>
                          <w:b/>
                          <w:color w:val="003F72"/>
                          <w:sz w:val="24"/>
                          <w:szCs w:val="26"/>
                        </w:rPr>
                      </w:pPr>
                      <w:r>
                        <w:rPr>
                          <w:b/>
                          <w:color w:val="003F72"/>
                          <w:sz w:val="28"/>
                          <w:szCs w:val="26"/>
                        </w:rPr>
                        <w:t>C</w:t>
                      </w:r>
                      <w:r w:rsidR="003B0891" w:rsidRPr="001D5B1C">
                        <w:rPr>
                          <w:b/>
                          <w:color w:val="003F72"/>
                          <w:sz w:val="28"/>
                          <w:szCs w:val="26"/>
                        </w:rPr>
                        <w:t xml:space="preserve">. </w:t>
                      </w:r>
                      <w:r>
                        <w:rPr>
                          <w:b/>
                          <w:color w:val="003F72"/>
                          <w:sz w:val="28"/>
                          <w:szCs w:val="26"/>
                        </w:rPr>
                        <w:t>M</w:t>
                      </w:r>
                      <w:r w:rsidR="003B0891" w:rsidRPr="001D5B1C">
                        <w:rPr>
                          <w:b/>
                          <w:color w:val="003F72"/>
                          <w:sz w:val="28"/>
                          <w:szCs w:val="26"/>
                        </w:rPr>
                        <w:t>TBI</w:t>
                      </w:r>
                      <w:r>
                        <w:rPr>
                          <w:b/>
                          <w:color w:val="003F72"/>
                          <w:sz w:val="28"/>
                          <w:szCs w:val="26"/>
                        </w:rPr>
                        <w:t>, Mental Health, and Persistent Symptoms</w:t>
                      </w:r>
                    </w:p>
                    <w:p w14:paraId="02DB238E" w14:textId="77777777" w:rsidR="003B0891" w:rsidRPr="001D5B1C" w:rsidRDefault="003B0891" w:rsidP="003B0891">
                      <w:pPr>
                        <w:shd w:val="clear" w:color="auto" w:fill="DBE5F1" w:themeFill="accent1" w:themeFillTint="33"/>
                        <w:spacing w:after="0" w:line="240" w:lineRule="auto"/>
                        <w:rPr>
                          <w:sz w:val="24"/>
                          <w:szCs w:val="26"/>
                        </w:rPr>
                      </w:pPr>
                      <w:r w:rsidRPr="001D5B1C">
                        <w:rPr>
                          <w:sz w:val="24"/>
                          <w:szCs w:val="26"/>
                        </w:rPr>
                        <w:t>from LIMBIC-CENC Knowledge Translation Center (LIMBIC</w:t>
                      </w:r>
                      <w:r w:rsidRPr="001D5B1C">
                        <w:rPr>
                          <w:sz w:val="24"/>
                          <w:szCs w:val="26"/>
                          <w:vertAlign w:val="superscript"/>
                        </w:rPr>
                        <w:t>TM</w:t>
                      </w:r>
                      <w:r w:rsidRPr="001D5B1C">
                        <w:rPr>
                          <w:sz w:val="24"/>
                          <w:szCs w:val="26"/>
                        </w:rPr>
                        <w:t>)</w:t>
                      </w:r>
                    </w:p>
                    <w:p w14:paraId="2BEFA507" w14:textId="77777777" w:rsidR="003B0891" w:rsidRPr="001D5B1C" w:rsidRDefault="003B0891" w:rsidP="003B0891">
                      <w:pPr>
                        <w:shd w:val="clear" w:color="auto" w:fill="DBE5F1" w:themeFill="accent1" w:themeFillTint="33"/>
                        <w:spacing w:after="0" w:line="240" w:lineRule="auto"/>
                        <w:rPr>
                          <w:b/>
                          <w:color w:val="003F72"/>
                          <w:sz w:val="24"/>
                          <w:szCs w:val="26"/>
                        </w:rPr>
                      </w:pPr>
                      <w:r w:rsidRPr="001D5B1C">
                        <w:rPr>
                          <w:sz w:val="24"/>
                          <w:szCs w:val="26"/>
                        </w:rPr>
                        <w:t>April 17, 2024, Richmond, VA</w:t>
                      </w:r>
                    </w:p>
                  </w:txbxContent>
                </v:textbox>
                <w10:wrap anchorx="margin"/>
              </v:shape>
            </w:pict>
          </mc:Fallback>
        </mc:AlternateContent>
      </w:r>
      <w:r w:rsidRPr="0092099D">
        <w:rPr>
          <w:rFonts w:ascii="Arial" w:hAnsi="Arial"/>
          <w:noProof/>
          <w:color w:val="244061" w:themeColor="accent1" w:themeShade="80"/>
        </w:rPr>
        <w:drawing>
          <wp:anchor distT="0" distB="0" distL="114300" distR="114300" simplePos="0" relativeHeight="251679744" behindDoc="1" locked="0" layoutInCell="1" allowOverlap="0" wp14:anchorId="3A9CB5A6" wp14:editId="28F16E1C">
            <wp:simplePos x="0" y="0"/>
            <wp:positionH relativeFrom="margin">
              <wp:align>left</wp:align>
            </wp:positionH>
            <wp:positionV relativeFrom="margin">
              <wp:posOffset>-227965</wp:posOffset>
            </wp:positionV>
            <wp:extent cx="2640067" cy="1097280"/>
            <wp:effectExtent l="0" t="0" r="0" b="0"/>
            <wp:wrapTight wrapText="right">
              <wp:wrapPolygon edited="0">
                <wp:start x="1247" y="2250"/>
                <wp:lineTo x="779" y="4125"/>
                <wp:lineTo x="624" y="16875"/>
                <wp:lineTo x="1715" y="18375"/>
                <wp:lineTo x="3118" y="19125"/>
                <wp:lineTo x="4832" y="19125"/>
                <wp:lineTo x="19173" y="18000"/>
                <wp:lineTo x="19953" y="15750"/>
                <wp:lineTo x="18394" y="15000"/>
                <wp:lineTo x="21356" y="9375"/>
                <wp:lineTo x="21356" y="4125"/>
                <wp:lineTo x="21044" y="2250"/>
                <wp:lineTo x="1247" y="2250"/>
              </wp:wrapPolygon>
            </wp:wrapTight>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40067" cy="109728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3DBC2AEE" w14:textId="77777777" w:rsidR="003B0891" w:rsidRPr="00394619" w:rsidRDefault="003B0891" w:rsidP="003B0891">
      <w:pPr>
        <w:spacing w:after="0" w:line="240" w:lineRule="auto"/>
        <w:jc w:val="right"/>
        <w:rPr>
          <w:b/>
          <w:color w:val="003F72"/>
          <w:sz w:val="28"/>
          <w:szCs w:val="28"/>
        </w:rPr>
      </w:pPr>
    </w:p>
    <w:p w14:paraId="76C7B7FD" w14:textId="77777777" w:rsidR="003B0891" w:rsidRPr="008B6319" w:rsidRDefault="003B0891" w:rsidP="003B0891">
      <w:pPr>
        <w:spacing w:after="0" w:line="240" w:lineRule="auto"/>
        <w:jc w:val="right"/>
        <w:rPr>
          <w:sz w:val="24"/>
          <w:szCs w:val="24"/>
        </w:rPr>
      </w:pPr>
    </w:p>
    <w:p w14:paraId="084FFEC2" w14:textId="77777777" w:rsidR="004F36F7" w:rsidRPr="008B6319" w:rsidRDefault="004F36F7" w:rsidP="004F36F7">
      <w:pPr>
        <w:spacing w:after="0" w:line="240" w:lineRule="auto"/>
        <w:rPr>
          <w:sz w:val="24"/>
          <w:szCs w:val="24"/>
        </w:rPr>
      </w:pPr>
    </w:p>
    <w:p w14:paraId="09BC472F" w14:textId="472820EC" w:rsidR="00AD1AAB" w:rsidRPr="00FF26F8" w:rsidRDefault="00FF26F8" w:rsidP="00FF26F8">
      <w:pPr>
        <w:keepNext/>
        <w:keepLines/>
        <w:pBdr>
          <w:top w:val="double" w:sz="6" w:space="1" w:color="003F72"/>
          <w:left w:val="double" w:sz="6" w:space="4" w:color="003F72"/>
          <w:bottom w:val="double" w:sz="6" w:space="1" w:color="003F72"/>
          <w:right w:val="double" w:sz="6" w:space="4" w:color="003F72"/>
        </w:pBdr>
        <w:shd w:val="clear" w:color="auto" w:fill="003F72"/>
        <w:spacing w:after="120" w:line="240" w:lineRule="auto"/>
        <w:rPr>
          <w:b/>
          <w:color w:val="FFFFFF" w:themeColor="background1"/>
          <w:sz w:val="28"/>
          <w:szCs w:val="24"/>
        </w:rPr>
      </w:pPr>
      <w:r>
        <w:rPr>
          <w:b/>
          <w:color w:val="FFFFFF" w:themeColor="background1"/>
          <w:sz w:val="28"/>
          <w:szCs w:val="24"/>
        </w:rPr>
        <w:t xml:space="preserve">C. </w:t>
      </w:r>
      <w:r w:rsidR="0073021E" w:rsidRPr="00FF26F8">
        <w:rPr>
          <w:b/>
          <w:color w:val="FFFFFF" w:themeColor="background1"/>
          <w:sz w:val="28"/>
          <w:szCs w:val="24"/>
        </w:rPr>
        <w:t>M</w:t>
      </w:r>
      <w:r w:rsidR="002926F4" w:rsidRPr="00FF26F8">
        <w:rPr>
          <w:b/>
          <w:color w:val="FFFFFF" w:themeColor="background1"/>
          <w:sz w:val="28"/>
          <w:szCs w:val="24"/>
        </w:rPr>
        <w:t>TBI, Mental Health</w:t>
      </w:r>
      <w:r w:rsidR="00F36B16" w:rsidRPr="00FF26F8">
        <w:rPr>
          <w:b/>
          <w:color w:val="FFFFFF" w:themeColor="background1"/>
          <w:sz w:val="28"/>
          <w:szCs w:val="24"/>
        </w:rPr>
        <w:t>,</w:t>
      </w:r>
      <w:r w:rsidR="002926F4" w:rsidRPr="00FF26F8">
        <w:rPr>
          <w:b/>
          <w:color w:val="FFFFFF" w:themeColor="background1"/>
          <w:sz w:val="28"/>
          <w:szCs w:val="24"/>
        </w:rPr>
        <w:t xml:space="preserve"> and </w:t>
      </w:r>
      <w:r w:rsidR="00AD1AAB" w:rsidRPr="00FF26F8">
        <w:rPr>
          <w:b/>
          <w:color w:val="FFFFFF" w:themeColor="background1"/>
          <w:sz w:val="28"/>
          <w:szCs w:val="24"/>
        </w:rPr>
        <w:t>Persistent Symptoms</w:t>
      </w:r>
    </w:p>
    <w:p w14:paraId="1F77874D" w14:textId="77777777" w:rsidR="00174384" w:rsidRPr="00063091" w:rsidRDefault="00161164" w:rsidP="00063091">
      <w:pPr>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063091">
        <w:rPr>
          <w:b/>
          <w:color w:val="1F497D" w:themeColor="text2"/>
          <w:sz w:val="28"/>
          <w:szCs w:val="24"/>
        </w:rPr>
        <w:t>Key Finding</w:t>
      </w:r>
      <w:r w:rsidR="00174384" w:rsidRPr="00063091">
        <w:rPr>
          <w:b/>
          <w:color w:val="1F497D" w:themeColor="text2"/>
          <w:sz w:val="28"/>
          <w:szCs w:val="24"/>
        </w:rPr>
        <w:t>s</w:t>
      </w:r>
    </w:p>
    <w:p w14:paraId="05985D35" w14:textId="6DAAC14F" w:rsidR="007E4678" w:rsidRPr="007E4678" w:rsidRDefault="007E4678"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7E4678">
        <w:rPr>
          <w:b/>
          <w:sz w:val="24"/>
          <w:szCs w:val="24"/>
        </w:rPr>
        <w:t>MTBI and PTSD</w:t>
      </w:r>
      <w:r>
        <w:rPr>
          <w:sz w:val="24"/>
          <w:szCs w:val="24"/>
        </w:rPr>
        <w:t>. About 40% of Service Members</w:t>
      </w:r>
      <w:r w:rsidR="00D93330">
        <w:rPr>
          <w:sz w:val="24"/>
          <w:szCs w:val="24"/>
        </w:rPr>
        <w:t xml:space="preserve"> and</w:t>
      </w:r>
      <w:r>
        <w:rPr>
          <w:sz w:val="24"/>
          <w:szCs w:val="24"/>
        </w:rPr>
        <w:t xml:space="preserve"> Veterans with mTBI screened positive for PTSD compared to about 25% without mTBI.</w:t>
      </w:r>
      <w:r w:rsidR="00141B76">
        <w:rPr>
          <w:rFonts w:eastAsia="Calibri"/>
          <w:sz w:val="24"/>
          <w:szCs w:val="24"/>
          <w:vertAlign w:val="superscript"/>
        </w:rPr>
        <w:t>1</w:t>
      </w:r>
      <w:r w:rsidR="0008385F">
        <w:rPr>
          <w:rFonts w:eastAsia="Calibri"/>
          <w:sz w:val="24"/>
          <w:szCs w:val="24"/>
          <w:vertAlign w:val="superscript"/>
        </w:rPr>
        <w:t xml:space="preserve"> </w:t>
      </w:r>
      <w:r w:rsidR="00C842DE">
        <w:rPr>
          <w:rFonts w:eastAsia="Calibri"/>
          <w:sz w:val="24"/>
          <w:szCs w:val="24"/>
        </w:rPr>
        <w:t xml:space="preserve"> </w:t>
      </w:r>
      <w:r w:rsidR="00C842DE" w:rsidRPr="00C842DE">
        <w:rPr>
          <w:rFonts w:eastAsia="Calibri"/>
          <w:sz w:val="24"/>
          <w:szCs w:val="24"/>
        </w:rPr>
        <w:t>S</w:t>
      </w:r>
      <w:r w:rsidR="00C842DE">
        <w:rPr>
          <w:rFonts w:eastAsia="Calibri"/>
          <w:sz w:val="24"/>
          <w:szCs w:val="24"/>
        </w:rPr>
        <w:t xml:space="preserve">ervice </w:t>
      </w:r>
      <w:r w:rsidR="00C842DE" w:rsidRPr="00C842DE">
        <w:rPr>
          <w:rFonts w:eastAsia="Calibri"/>
          <w:sz w:val="24"/>
          <w:szCs w:val="24"/>
        </w:rPr>
        <w:t>M</w:t>
      </w:r>
      <w:r w:rsidR="00C842DE">
        <w:rPr>
          <w:rFonts w:eastAsia="Calibri"/>
          <w:sz w:val="24"/>
          <w:szCs w:val="24"/>
        </w:rPr>
        <w:t xml:space="preserve">embers and Veterans </w:t>
      </w:r>
      <w:r w:rsidR="00C842DE" w:rsidRPr="00C842DE">
        <w:rPr>
          <w:rFonts w:eastAsia="Calibri"/>
          <w:sz w:val="24"/>
          <w:szCs w:val="24"/>
        </w:rPr>
        <w:t>with both mTBI and PTSD ha</w:t>
      </w:r>
      <w:r w:rsidR="007D7506">
        <w:rPr>
          <w:rFonts w:eastAsia="Calibri"/>
          <w:sz w:val="24"/>
          <w:szCs w:val="24"/>
        </w:rPr>
        <w:t>ve</w:t>
      </w:r>
      <w:r w:rsidR="00C842DE" w:rsidRPr="00C842DE">
        <w:rPr>
          <w:rFonts w:eastAsia="Calibri"/>
          <w:sz w:val="24"/>
          <w:szCs w:val="24"/>
        </w:rPr>
        <w:t xml:space="preserve"> the highest rates of depression symptoms, pain, and sleep apnea risk relative to </w:t>
      </w:r>
      <w:r w:rsidR="00983E7F">
        <w:rPr>
          <w:rFonts w:eastAsia="Calibri"/>
          <w:sz w:val="24"/>
          <w:szCs w:val="24"/>
        </w:rPr>
        <w:t>those</w:t>
      </w:r>
      <w:r w:rsidR="00C842DE" w:rsidRPr="00C842DE">
        <w:rPr>
          <w:rFonts w:eastAsia="Calibri"/>
          <w:sz w:val="24"/>
          <w:szCs w:val="24"/>
        </w:rPr>
        <w:t xml:space="preserve"> without </w:t>
      </w:r>
      <w:r w:rsidR="00541F34">
        <w:rPr>
          <w:rFonts w:eastAsia="Calibri"/>
          <w:sz w:val="24"/>
          <w:szCs w:val="24"/>
        </w:rPr>
        <w:t xml:space="preserve">either </w:t>
      </w:r>
      <w:r w:rsidR="00C842DE" w:rsidRPr="00C842DE">
        <w:rPr>
          <w:rFonts w:eastAsia="Calibri"/>
          <w:sz w:val="24"/>
          <w:szCs w:val="24"/>
        </w:rPr>
        <w:t>condition.</w:t>
      </w:r>
      <w:r w:rsidR="00541F34" w:rsidRPr="007E4678">
        <w:rPr>
          <w:rFonts w:eastAsia="Calibri"/>
          <w:sz w:val="24"/>
          <w:szCs w:val="24"/>
          <w:vertAlign w:val="superscript"/>
        </w:rPr>
        <w:t>2</w:t>
      </w:r>
      <w:r w:rsidR="00C842DE" w:rsidRPr="00C842DE">
        <w:rPr>
          <w:rFonts w:eastAsia="Calibri"/>
          <w:sz w:val="24"/>
          <w:szCs w:val="24"/>
        </w:rPr>
        <w:t xml:space="preserve"> </w:t>
      </w:r>
      <w:r w:rsidR="00541F34" w:rsidRPr="00C842DE">
        <w:rPr>
          <w:rFonts w:eastAsia="Calibri"/>
          <w:sz w:val="24"/>
          <w:szCs w:val="24"/>
        </w:rPr>
        <w:t>S</w:t>
      </w:r>
      <w:r w:rsidR="00541F34">
        <w:rPr>
          <w:rFonts w:eastAsia="Calibri"/>
          <w:sz w:val="24"/>
          <w:szCs w:val="24"/>
        </w:rPr>
        <w:t xml:space="preserve">ervice </w:t>
      </w:r>
      <w:r w:rsidR="00541F34" w:rsidRPr="00C842DE">
        <w:rPr>
          <w:rFonts w:eastAsia="Calibri"/>
          <w:sz w:val="24"/>
          <w:szCs w:val="24"/>
        </w:rPr>
        <w:t>M</w:t>
      </w:r>
      <w:r w:rsidR="00541F34">
        <w:rPr>
          <w:rFonts w:eastAsia="Calibri"/>
          <w:sz w:val="24"/>
          <w:szCs w:val="24"/>
        </w:rPr>
        <w:t>embers and Veterans</w:t>
      </w:r>
      <w:r w:rsidR="00C842DE" w:rsidRPr="00C842DE">
        <w:rPr>
          <w:rFonts w:eastAsia="Calibri"/>
          <w:sz w:val="24"/>
          <w:szCs w:val="24"/>
        </w:rPr>
        <w:t xml:space="preserve"> with PTSD, irrespective of mTBI history, had high rates of obesity, sleep problems, </w:t>
      </w:r>
      <w:r w:rsidR="005F5F5D">
        <w:rPr>
          <w:rFonts w:eastAsia="Calibri"/>
          <w:sz w:val="24"/>
          <w:szCs w:val="24"/>
        </w:rPr>
        <w:t xml:space="preserve">depression, </w:t>
      </w:r>
      <w:r w:rsidR="00C842DE" w:rsidRPr="00C842DE">
        <w:rPr>
          <w:rFonts w:eastAsia="Calibri"/>
          <w:sz w:val="24"/>
          <w:szCs w:val="24"/>
        </w:rPr>
        <w:t>and pain.</w:t>
      </w:r>
      <w:r w:rsidR="008D087B">
        <w:rPr>
          <w:rFonts w:eastAsia="Calibri"/>
          <w:sz w:val="24"/>
          <w:szCs w:val="24"/>
          <w:vertAlign w:val="superscript"/>
        </w:rPr>
        <w:t>2</w:t>
      </w:r>
      <w:r w:rsidR="00C842DE" w:rsidRPr="00C842DE">
        <w:rPr>
          <w:rFonts w:eastAsia="Calibri"/>
          <w:sz w:val="24"/>
          <w:szCs w:val="24"/>
        </w:rPr>
        <w:t xml:space="preserve"> </w:t>
      </w:r>
      <w:r w:rsidR="00C842DE">
        <w:rPr>
          <w:rFonts w:eastAsia="Calibri"/>
          <w:sz w:val="24"/>
          <w:szCs w:val="24"/>
        </w:rPr>
        <w:t>F</w:t>
      </w:r>
      <w:r w:rsidR="0008385F">
        <w:rPr>
          <w:rFonts w:eastAsia="Calibri"/>
          <w:sz w:val="24"/>
          <w:szCs w:val="24"/>
        </w:rPr>
        <w:t xml:space="preserve">or Veterans with </w:t>
      </w:r>
      <w:r w:rsidR="00694409">
        <w:rPr>
          <w:rFonts w:eastAsia="Calibri"/>
          <w:sz w:val="24"/>
          <w:szCs w:val="24"/>
        </w:rPr>
        <w:t xml:space="preserve">both </w:t>
      </w:r>
      <w:r w:rsidR="0008385F">
        <w:rPr>
          <w:rFonts w:eastAsia="Calibri"/>
          <w:sz w:val="24"/>
          <w:szCs w:val="24"/>
        </w:rPr>
        <w:t xml:space="preserve">TBI and PTSD </w:t>
      </w:r>
      <w:r w:rsidR="007D2E0A">
        <w:rPr>
          <w:rFonts w:eastAsia="Calibri"/>
          <w:sz w:val="24"/>
          <w:szCs w:val="24"/>
        </w:rPr>
        <w:t xml:space="preserve">who </w:t>
      </w:r>
      <w:r w:rsidR="0008385F">
        <w:rPr>
          <w:rFonts w:eastAsia="Calibri"/>
          <w:sz w:val="24"/>
          <w:szCs w:val="24"/>
        </w:rPr>
        <w:t>receiv</w:t>
      </w:r>
      <w:r w:rsidR="007D2E0A">
        <w:rPr>
          <w:rFonts w:eastAsia="Calibri"/>
          <w:sz w:val="24"/>
          <w:szCs w:val="24"/>
        </w:rPr>
        <w:t>e</w:t>
      </w:r>
      <w:r w:rsidR="0008385F">
        <w:rPr>
          <w:rFonts w:eastAsia="Calibri"/>
          <w:sz w:val="24"/>
          <w:szCs w:val="24"/>
        </w:rPr>
        <w:t xml:space="preserve"> </w:t>
      </w:r>
      <w:r w:rsidR="00E97977">
        <w:rPr>
          <w:rFonts w:eastAsia="Calibri"/>
          <w:sz w:val="24"/>
          <w:szCs w:val="24"/>
        </w:rPr>
        <w:t xml:space="preserve">cognitive processing therapy for trauma, </w:t>
      </w:r>
      <w:r w:rsidR="0008385F" w:rsidRPr="0008385F">
        <w:rPr>
          <w:rFonts w:eastAsia="Calibri"/>
          <w:sz w:val="24"/>
          <w:szCs w:val="24"/>
        </w:rPr>
        <w:t xml:space="preserve">worse baseline sleep quality was associated with less improvement in PTSD </w:t>
      </w:r>
      <w:r w:rsidR="00E97977" w:rsidRPr="0008385F">
        <w:rPr>
          <w:rFonts w:eastAsia="Calibri"/>
          <w:sz w:val="24"/>
          <w:szCs w:val="24"/>
        </w:rPr>
        <w:t xml:space="preserve">and cognitive </w:t>
      </w:r>
      <w:r w:rsidR="0008385F" w:rsidRPr="0008385F">
        <w:rPr>
          <w:rFonts w:eastAsia="Calibri"/>
          <w:sz w:val="24"/>
          <w:szCs w:val="24"/>
        </w:rPr>
        <w:t>symptoms.</w:t>
      </w:r>
      <w:r w:rsidR="00141B76">
        <w:rPr>
          <w:rFonts w:eastAsia="Calibri"/>
          <w:sz w:val="24"/>
          <w:szCs w:val="24"/>
          <w:vertAlign w:val="superscript"/>
        </w:rPr>
        <w:t>3</w:t>
      </w:r>
    </w:p>
    <w:p w14:paraId="56FE9BB2" w14:textId="1E6F8BA3" w:rsidR="00230179" w:rsidRDefault="005427F4"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5427F4">
        <w:rPr>
          <w:b/>
          <w:sz w:val="24"/>
          <w:szCs w:val="24"/>
        </w:rPr>
        <w:t>MTBI and Persistent Symptoms</w:t>
      </w:r>
      <w:r>
        <w:rPr>
          <w:sz w:val="24"/>
          <w:szCs w:val="24"/>
        </w:rPr>
        <w:t xml:space="preserve">. </w:t>
      </w:r>
      <w:r w:rsidR="007E4678">
        <w:rPr>
          <w:sz w:val="24"/>
          <w:szCs w:val="24"/>
        </w:rPr>
        <w:t xml:space="preserve">Service Members </w:t>
      </w:r>
      <w:r w:rsidR="00D93330">
        <w:rPr>
          <w:sz w:val="24"/>
          <w:szCs w:val="24"/>
        </w:rPr>
        <w:t>and</w:t>
      </w:r>
      <w:r w:rsidR="007E4678">
        <w:rPr>
          <w:sz w:val="24"/>
          <w:szCs w:val="24"/>
        </w:rPr>
        <w:t xml:space="preserve"> Veterans with mTBI report more neurobehavioral symptoms compared to those without mTBI.</w:t>
      </w:r>
      <w:r w:rsidR="007E4678" w:rsidRPr="007E4678">
        <w:rPr>
          <w:rFonts w:eastAsia="Calibri"/>
          <w:sz w:val="24"/>
          <w:szCs w:val="24"/>
          <w:vertAlign w:val="superscript"/>
        </w:rPr>
        <w:t>1</w:t>
      </w:r>
      <w:r w:rsidR="007E4678">
        <w:rPr>
          <w:rFonts w:eastAsia="Calibri"/>
          <w:sz w:val="24"/>
          <w:szCs w:val="24"/>
          <w:vertAlign w:val="superscript"/>
        </w:rPr>
        <w:t xml:space="preserve"> </w:t>
      </w:r>
      <w:r>
        <w:rPr>
          <w:sz w:val="24"/>
          <w:szCs w:val="24"/>
        </w:rPr>
        <w:t xml:space="preserve">A dose-response association was found between </w:t>
      </w:r>
      <w:r w:rsidR="00421559" w:rsidRPr="00D42CFF">
        <w:rPr>
          <w:sz w:val="24"/>
          <w:szCs w:val="24"/>
        </w:rPr>
        <w:t xml:space="preserve">greater number of mTBIs (blast-related or non-blast) </w:t>
      </w:r>
      <w:r>
        <w:rPr>
          <w:sz w:val="24"/>
          <w:szCs w:val="24"/>
        </w:rPr>
        <w:t xml:space="preserve">and increased rates and severity of </w:t>
      </w:r>
      <w:r w:rsidR="00230179">
        <w:rPr>
          <w:sz w:val="24"/>
          <w:szCs w:val="24"/>
        </w:rPr>
        <w:t xml:space="preserve">self-reported neurobehavioral </w:t>
      </w:r>
      <w:r w:rsidR="00421559" w:rsidRPr="00D42CFF">
        <w:rPr>
          <w:sz w:val="24"/>
          <w:szCs w:val="24"/>
        </w:rPr>
        <w:t>symptoms</w:t>
      </w:r>
      <w:r>
        <w:rPr>
          <w:sz w:val="24"/>
          <w:szCs w:val="24"/>
        </w:rPr>
        <w:t xml:space="preserve"> </w:t>
      </w:r>
      <w:r w:rsidR="00230179">
        <w:rPr>
          <w:sz w:val="24"/>
          <w:szCs w:val="24"/>
        </w:rPr>
        <w:t xml:space="preserve">and pain </w:t>
      </w:r>
      <w:r w:rsidRPr="00D42CFF">
        <w:rPr>
          <w:sz w:val="24"/>
          <w:szCs w:val="24"/>
        </w:rPr>
        <w:t>among S</w:t>
      </w:r>
      <w:r w:rsidR="00F51B0A">
        <w:rPr>
          <w:sz w:val="24"/>
          <w:szCs w:val="24"/>
        </w:rPr>
        <w:t xml:space="preserve">ervice </w:t>
      </w:r>
      <w:r w:rsidRPr="00D42CFF">
        <w:rPr>
          <w:sz w:val="24"/>
          <w:szCs w:val="24"/>
        </w:rPr>
        <w:t>M</w:t>
      </w:r>
      <w:r w:rsidR="00F51B0A">
        <w:rPr>
          <w:sz w:val="24"/>
          <w:szCs w:val="24"/>
        </w:rPr>
        <w:t>ember</w:t>
      </w:r>
      <w:r w:rsidRPr="00D42CFF">
        <w:rPr>
          <w:sz w:val="24"/>
          <w:szCs w:val="24"/>
        </w:rPr>
        <w:t>s</w:t>
      </w:r>
      <w:r>
        <w:rPr>
          <w:sz w:val="24"/>
          <w:szCs w:val="24"/>
        </w:rPr>
        <w:t xml:space="preserve"> and V</w:t>
      </w:r>
      <w:r w:rsidR="00F51B0A">
        <w:rPr>
          <w:sz w:val="24"/>
          <w:szCs w:val="24"/>
        </w:rPr>
        <w:t>eteran</w:t>
      </w:r>
      <w:r>
        <w:rPr>
          <w:sz w:val="24"/>
          <w:szCs w:val="24"/>
        </w:rPr>
        <w:t>s.</w:t>
      </w:r>
      <w:r w:rsidR="00F928BF">
        <w:rPr>
          <w:sz w:val="24"/>
          <w:szCs w:val="24"/>
          <w:vertAlign w:val="superscript"/>
        </w:rPr>
        <w:t>4-</w:t>
      </w:r>
      <w:r w:rsidR="00F928BF" w:rsidRPr="00AF62C9">
        <w:rPr>
          <w:sz w:val="24"/>
          <w:szCs w:val="24"/>
          <w:vertAlign w:val="superscript"/>
        </w:rPr>
        <w:t>6</w:t>
      </w:r>
      <w:r w:rsidR="00C66ADA">
        <w:rPr>
          <w:sz w:val="24"/>
          <w:szCs w:val="24"/>
        </w:rPr>
        <w:t xml:space="preserve"> </w:t>
      </w:r>
      <w:r w:rsidR="00AF62C9">
        <w:rPr>
          <w:sz w:val="24"/>
          <w:szCs w:val="24"/>
        </w:rPr>
        <w:t>A</w:t>
      </w:r>
      <w:r w:rsidR="00C66ADA" w:rsidRPr="00AF62C9">
        <w:rPr>
          <w:sz w:val="24"/>
          <w:szCs w:val="24"/>
        </w:rPr>
        <w:t xml:space="preserve">n association </w:t>
      </w:r>
      <w:r w:rsidR="00AF62C9">
        <w:rPr>
          <w:sz w:val="24"/>
          <w:szCs w:val="24"/>
        </w:rPr>
        <w:t xml:space="preserve">was </w:t>
      </w:r>
      <w:r w:rsidR="00534CF9">
        <w:rPr>
          <w:sz w:val="24"/>
          <w:szCs w:val="24"/>
        </w:rPr>
        <w:t xml:space="preserve">also </w:t>
      </w:r>
      <w:r w:rsidR="00AF62C9">
        <w:rPr>
          <w:sz w:val="24"/>
          <w:szCs w:val="24"/>
        </w:rPr>
        <w:t xml:space="preserve">identified </w:t>
      </w:r>
      <w:r w:rsidR="00C66ADA" w:rsidRPr="00AF62C9">
        <w:rPr>
          <w:sz w:val="24"/>
          <w:szCs w:val="24"/>
        </w:rPr>
        <w:t xml:space="preserve">between PTSD symptom severity, </w:t>
      </w:r>
      <w:r w:rsidR="000E6C53">
        <w:rPr>
          <w:sz w:val="24"/>
          <w:szCs w:val="24"/>
        </w:rPr>
        <w:t xml:space="preserve">low social support, </w:t>
      </w:r>
      <w:r w:rsidR="00C66ADA" w:rsidRPr="00AF62C9">
        <w:rPr>
          <w:sz w:val="24"/>
          <w:szCs w:val="24"/>
        </w:rPr>
        <w:t xml:space="preserve">deployment-related mild TBI, and </w:t>
      </w:r>
      <w:r w:rsidR="000E6C53">
        <w:rPr>
          <w:sz w:val="24"/>
          <w:szCs w:val="24"/>
        </w:rPr>
        <w:t xml:space="preserve">increased risk of </w:t>
      </w:r>
      <w:r w:rsidR="00C66ADA" w:rsidRPr="00AF62C9">
        <w:rPr>
          <w:sz w:val="24"/>
          <w:szCs w:val="24"/>
        </w:rPr>
        <w:t>behavioral dyscontrol</w:t>
      </w:r>
      <w:r w:rsidR="00AF62C9">
        <w:rPr>
          <w:sz w:val="24"/>
          <w:szCs w:val="24"/>
        </w:rPr>
        <w:t>.</w:t>
      </w:r>
      <w:r w:rsidR="005E0361" w:rsidRPr="00AF62C9">
        <w:rPr>
          <w:sz w:val="24"/>
          <w:szCs w:val="24"/>
          <w:vertAlign w:val="superscript"/>
        </w:rPr>
        <w:t>7</w:t>
      </w:r>
    </w:p>
    <w:p w14:paraId="62C7DE20" w14:textId="384CAAB5" w:rsidR="00D42CFF" w:rsidRDefault="00BE22F2"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7E4678">
        <w:rPr>
          <w:b/>
          <w:sz w:val="24"/>
          <w:szCs w:val="24"/>
        </w:rPr>
        <w:t>Neurobehavioral Symptom Inventory (NSI)</w:t>
      </w:r>
      <w:r w:rsidR="007E4678">
        <w:rPr>
          <w:sz w:val="24"/>
          <w:szCs w:val="24"/>
        </w:rPr>
        <w:t>.</w:t>
      </w:r>
      <w:r>
        <w:rPr>
          <w:sz w:val="24"/>
          <w:szCs w:val="24"/>
        </w:rPr>
        <w:t xml:space="preserve"> </w:t>
      </w:r>
      <w:r w:rsidR="007E4678">
        <w:rPr>
          <w:sz w:val="24"/>
          <w:szCs w:val="24"/>
        </w:rPr>
        <w:t xml:space="preserve">The NSI </w:t>
      </w:r>
      <w:r>
        <w:rPr>
          <w:sz w:val="24"/>
          <w:szCs w:val="24"/>
        </w:rPr>
        <w:t xml:space="preserve">has </w:t>
      </w:r>
      <w:r w:rsidRPr="00565CC2">
        <w:rPr>
          <w:rFonts w:eastAsia="Calibri"/>
          <w:sz w:val="24"/>
          <w:szCs w:val="24"/>
        </w:rPr>
        <w:t xml:space="preserve">four symptom clusters (somatosensory, affective, cognitive, and vestibular) </w:t>
      </w:r>
      <w:r>
        <w:rPr>
          <w:rFonts w:eastAsia="Calibri"/>
          <w:sz w:val="24"/>
          <w:szCs w:val="24"/>
        </w:rPr>
        <w:t xml:space="preserve">that have </w:t>
      </w:r>
      <w:r w:rsidR="007E4678">
        <w:rPr>
          <w:rFonts w:eastAsia="Calibri"/>
          <w:sz w:val="24"/>
          <w:szCs w:val="24"/>
        </w:rPr>
        <w:t>been validated</w:t>
      </w:r>
      <w:r w:rsidR="007D2E0A">
        <w:rPr>
          <w:rFonts w:eastAsia="Calibri"/>
          <w:sz w:val="24"/>
          <w:szCs w:val="24"/>
        </w:rPr>
        <w:t xml:space="preserve"> in the LIMBIC-CENC PLS cohort</w:t>
      </w:r>
      <w:r w:rsidR="007E4678">
        <w:rPr>
          <w:rFonts w:eastAsia="Calibri"/>
          <w:sz w:val="24"/>
          <w:szCs w:val="24"/>
        </w:rPr>
        <w:t xml:space="preserve"> with factor analytic techniques</w:t>
      </w:r>
      <w:r w:rsidR="00BB0218">
        <w:rPr>
          <w:rFonts w:eastAsia="Calibri"/>
          <w:sz w:val="24"/>
          <w:szCs w:val="24"/>
        </w:rPr>
        <w:t>.</w:t>
      </w:r>
      <w:r w:rsidR="00BB0218" w:rsidRPr="007E4678">
        <w:rPr>
          <w:rFonts w:eastAsia="Calibri"/>
          <w:sz w:val="24"/>
          <w:szCs w:val="24"/>
          <w:vertAlign w:val="superscript"/>
        </w:rPr>
        <w:t>1</w:t>
      </w:r>
      <w:r w:rsidR="00BB0218">
        <w:rPr>
          <w:rFonts w:eastAsia="Calibri"/>
          <w:sz w:val="24"/>
          <w:szCs w:val="24"/>
        </w:rPr>
        <w:t xml:space="preserve"> NSI clusters </w:t>
      </w:r>
      <w:r w:rsidR="007E4678">
        <w:rPr>
          <w:rFonts w:eastAsia="Calibri"/>
          <w:sz w:val="24"/>
          <w:szCs w:val="24"/>
        </w:rPr>
        <w:t xml:space="preserve">show </w:t>
      </w:r>
      <w:r>
        <w:rPr>
          <w:rFonts w:eastAsia="Calibri"/>
          <w:sz w:val="24"/>
          <w:szCs w:val="24"/>
        </w:rPr>
        <w:t xml:space="preserve">evidence of </w:t>
      </w:r>
      <w:r w:rsidR="007E4678">
        <w:rPr>
          <w:rFonts w:eastAsia="Calibri"/>
          <w:sz w:val="24"/>
          <w:szCs w:val="24"/>
        </w:rPr>
        <w:t xml:space="preserve">good </w:t>
      </w:r>
      <w:r>
        <w:rPr>
          <w:rFonts w:eastAsia="Calibri"/>
          <w:sz w:val="24"/>
          <w:szCs w:val="24"/>
        </w:rPr>
        <w:t>reliability</w:t>
      </w:r>
      <w:r w:rsidR="002908A7">
        <w:rPr>
          <w:rFonts w:eastAsia="Calibri"/>
          <w:sz w:val="24"/>
          <w:szCs w:val="24"/>
        </w:rPr>
        <w:t xml:space="preserve"> and v</w:t>
      </w:r>
      <w:r>
        <w:rPr>
          <w:rFonts w:eastAsia="Calibri"/>
          <w:sz w:val="24"/>
          <w:szCs w:val="24"/>
        </w:rPr>
        <w:t>alidity.</w:t>
      </w:r>
      <w:r w:rsidR="007E4678" w:rsidRPr="007E4678">
        <w:rPr>
          <w:rFonts w:eastAsia="Calibri"/>
          <w:sz w:val="24"/>
          <w:szCs w:val="24"/>
          <w:vertAlign w:val="superscript"/>
        </w:rPr>
        <w:t>1</w:t>
      </w:r>
    </w:p>
    <w:p w14:paraId="3B811239" w14:textId="1C23AFDE" w:rsidR="005427F4" w:rsidRPr="005B55D4" w:rsidRDefault="005427F4"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5B55D4">
        <w:rPr>
          <w:b/>
          <w:sz w:val="24"/>
          <w:szCs w:val="24"/>
        </w:rPr>
        <w:t>M</w:t>
      </w:r>
      <w:r w:rsidR="0073021E" w:rsidRPr="005B55D4">
        <w:rPr>
          <w:b/>
          <w:sz w:val="24"/>
          <w:szCs w:val="24"/>
        </w:rPr>
        <w:t>TBI and Cognitive Performance</w:t>
      </w:r>
      <w:r w:rsidR="0073021E" w:rsidRPr="005B55D4">
        <w:rPr>
          <w:sz w:val="24"/>
          <w:szCs w:val="24"/>
        </w:rPr>
        <w:t xml:space="preserve">. </w:t>
      </w:r>
      <w:r w:rsidR="00D93330">
        <w:rPr>
          <w:sz w:val="24"/>
          <w:szCs w:val="24"/>
        </w:rPr>
        <w:t>LIMBIC-CENC</w:t>
      </w:r>
      <w:r w:rsidRPr="005B55D4">
        <w:rPr>
          <w:sz w:val="24"/>
          <w:szCs w:val="24"/>
        </w:rPr>
        <w:t xml:space="preserve"> research did not find evidence that </w:t>
      </w:r>
      <w:r w:rsidR="00EC238A" w:rsidRPr="005B55D4">
        <w:rPr>
          <w:sz w:val="24"/>
          <w:szCs w:val="24"/>
        </w:rPr>
        <w:t>presence or number of mTBIs</w:t>
      </w:r>
      <w:r w:rsidR="00117655" w:rsidRPr="005B55D4">
        <w:rPr>
          <w:sz w:val="24"/>
          <w:szCs w:val="24"/>
        </w:rPr>
        <w:t xml:space="preserve"> </w:t>
      </w:r>
      <w:r w:rsidR="00962762">
        <w:rPr>
          <w:sz w:val="24"/>
          <w:szCs w:val="24"/>
        </w:rPr>
        <w:t xml:space="preserve">directly </w:t>
      </w:r>
      <w:r w:rsidR="00EC238A" w:rsidRPr="005B55D4">
        <w:rPr>
          <w:sz w:val="24"/>
          <w:szCs w:val="24"/>
        </w:rPr>
        <w:t>impacted</w:t>
      </w:r>
      <w:r w:rsidRPr="005B55D4">
        <w:rPr>
          <w:sz w:val="24"/>
          <w:szCs w:val="24"/>
        </w:rPr>
        <w:t xml:space="preserve"> cognitive performance</w:t>
      </w:r>
      <w:r w:rsidR="009202EC" w:rsidRPr="005B55D4">
        <w:rPr>
          <w:sz w:val="24"/>
          <w:szCs w:val="24"/>
        </w:rPr>
        <w:t xml:space="preserve"> including attention</w:t>
      </w:r>
      <w:r w:rsidR="00117655" w:rsidRPr="005B55D4">
        <w:rPr>
          <w:sz w:val="24"/>
          <w:szCs w:val="24"/>
        </w:rPr>
        <w:t xml:space="preserve">, </w:t>
      </w:r>
      <w:r w:rsidR="009202EC" w:rsidRPr="005B55D4">
        <w:rPr>
          <w:sz w:val="24"/>
          <w:szCs w:val="24"/>
        </w:rPr>
        <w:t>working memory, executive function, and processing speed.</w:t>
      </w:r>
      <w:r w:rsidR="003C091D" w:rsidRPr="00AF62C9">
        <w:rPr>
          <w:sz w:val="24"/>
          <w:szCs w:val="24"/>
          <w:vertAlign w:val="superscript"/>
        </w:rPr>
        <w:t>7</w:t>
      </w:r>
      <w:r w:rsidR="00972259">
        <w:rPr>
          <w:sz w:val="24"/>
          <w:szCs w:val="24"/>
          <w:vertAlign w:val="superscript"/>
        </w:rPr>
        <w:t>,</w:t>
      </w:r>
      <w:r w:rsidR="00B56F12">
        <w:rPr>
          <w:sz w:val="24"/>
          <w:szCs w:val="24"/>
          <w:vertAlign w:val="superscript"/>
        </w:rPr>
        <w:t xml:space="preserve"> </w:t>
      </w:r>
      <w:r w:rsidR="00972259">
        <w:rPr>
          <w:sz w:val="24"/>
          <w:szCs w:val="24"/>
          <w:vertAlign w:val="superscript"/>
        </w:rPr>
        <w:t>8</w:t>
      </w:r>
      <w:r w:rsidR="00D42CFF" w:rsidRPr="005B55D4">
        <w:rPr>
          <w:sz w:val="24"/>
          <w:szCs w:val="24"/>
        </w:rPr>
        <w:t xml:space="preserve"> </w:t>
      </w:r>
      <w:r w:rsidR="00EC238A" w:rsidRPr="005B55D4">
        <w:rPr>
          <w:sz w:val="24"/>
          <w:szCs w:val="24"/>
        </w:rPr>
        <w:t>Sleep disorder</w:t>
      </w:r>
      <w:r w:rsidR="007D2E0A">
        <w:rPr>
          <w:sz w:val="24"/>
          <w:szCs w:val="24"/>
        </w:rPr>
        <w:t>s</w:t>
      </w:r>
      <w:r w:rsidR="00EC238A" w:rsidRPr="005B55D4">
        <w:rPr>
          <w:sz w:val="24"/>
          <w:szCs w:val="24"/>
        </w:rPr>
        <w:t xml:space="preserve">, </w:t>
      </w:r>
      <w:r w:rsidR="00D42CFF" w:rsidRPr="005B55D4">
        <w:rPr>
          <w:sz w:val="24"/>
          <w:szCs w:val="24"/>
        </w:rPr>
        <w:t xml:space="preserve">PTSD, and pain </w:t>
      </w:r>
      <w:r w:rsidR="00EC238A" w:rsidRPr="005B55D4">
        <w:rPr>
          <w:sz w:val="24"/>
          <w:szCs w:val="24"/>
        </w:rPr>
        <w:t xml:space="preserve">decreased </w:t>
      </w:r>
      <w:r w:rsidR="00D42CFF" w:rsidRPr="005B55D4">
        <w:rPr>
          <w:sz w:val="24"/>
          <w:szCs w:val="24"/>
        </w:rPr>
        <w:t>cognitive performance.</w:t>
      </w:r>
      <w:r w:rsidR="00972259">
        <w:rPr>
          <w:sz w:val="24"/>
          <w:szCs w:val="24"/>
          <w:vertAlign w:val="superscript"/>
        </w:rPr>
        <w:t>9</w:t>
      </w:r>
      <w:r w:rsidR="00216618">
        <w:rPr>
          <w:sz w:val="24"/>
          <w:szCs w:val="24"/>
        </w:rPr>
        <w:t xml:space="preserve"> </w:t>
      </w:r>
      <w:r w:rsidR="00B14D98">
        <w:rPr>
          <w:sz w:val="24"/>
          <w:szCs w:val="24"/>
        </w:rPr>
        <w:t>E</w:t>
      </w:r>
      <w:r w:rsidR="00117655" w:rsidRPr="005B55D4">
        <w:rPr>
          <w:sz w:val="24"/>
          <w:szCs w:val="24"/>
        </w:rPr>
        <w:t>vidence suggests that t</w:t>
      </w:r>
      <w:r w:rsidR="00EC63CB" w:rsidRPr="005B55D4">
        <w:rPr>
          <w:sz w:val="24"/>
          <w:szCs w:val="24"/>
        </w:rPr>
        <w:t>elehealth delivery of group cognitive rehabilitation and aerobic activity</w:t>
      </w:r>
      <w:r w:rsidR="00117655" w:rsidRPr="005B55D4">
        <w:rPr>
          <w:sz w:val="24"/>
          <w:szCs w:val="24"/>
        </w:rPr>
        <w:t xml:space="preserve"> are promising interventions to improve cognition following mTBI.</w:t>
      </w:r>
      <w:r w:rsidR="00117655" w:rsidRPr="005B55D4">
        <w:rPr>
          <w:sz w:val="24"/>
          <w:szCs w:val="24"/>
          <w:vertAlign w:val="superscript"/>
        </w:rPr>
        <w:t>10</w:t>
      </w:r>
      <w:r w:rsidR="00972259">
        <w:rPr>
          <w:sz w:val="24"/>
          <w:szCs w:val="24"/>
          <w:vertAlign w:val="superscript"/>
        </w:rPr>
        <w:t>,</w:t>
      </w:r>
      <w:r w:rsidR="00B56F12">
        <w:rPr>
          <w:sz w:val="24"/>
          <w:szCs w:val="24"/>
          <w:vertAlign w:val="superscript"/>
        </w:rPr>
        <w:t xml:space="preserve"> </w:t>
      </w:r>
      <w:r w:rsidR="00972259">
        <w:rPr>
          <w:sz w:val="24"/>
          <w:szCs w:val="24"/>
          <w:vertAlign w:val="superscript"/>
        </w:rPr>
        <w:t>11</w:t>
      </w:r>
    </w:p>
    <w:p w14:paraId="4B95C0C7" w14:textId="59B9CDDC" w:rsidR="005E6504" w:rsidRPr="005B55D4" w:rsidRDefault="005427F4"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EC238A">
        <w:rPr>
          <w:b/>
          <w:sz w:val="24"/>
          <w:szCs w:val="24"/>
        </w:rPr>
        <w:t>MTBI and Sleep Disorders</w:t>
      </w:r>
      <w:r w:rsidRPr="00EC238A">
        <w:rPr>
          <w:sz w:val="24"/>
          <w:szCs w:val="24"/>
        </w:rPr>
        <w:t xml:space="preserve">. </w:t>
      </w:r>
      <w:r w:rsidR="00F93118" w:rsidRPr="00EC238A">
        <w:rPr>
          <w:sz w:val="24"/>
          <w:szCs w:val="24"/>
        </w:rPr>
        <w:t xml:space="preserve">Veterans with </w:t>
      </w:r>
      <w:r w:rsidRPr="00EC238A">
        <w:rPr>
          <w:sz w:val="24"/>
          <w:szCs w:val="24"/>
        </w:rPr>
        <w:t xml:space="preserve">a </w:t>
      </w:r>
      <w:r w:rsidR="00C711E1">
        <w:rPr>
          <w:sz w:val="24"/>
          <w:szCs w:val="24"/>
        </w:rPr>
        <w:t>m</w:t>
      </w:r>
      <w:r w:rsidR="00F93118" w:rsidRPr="00EC238A">
        <w:rPr>
          <w:sz w:val="24"/>
          <w:szCs w:val="24"/>
        </w:rPr>
        <w:t xml:space="preserve">TBI </w:t>
      </w:r>
      <w:r w:rsidRPr="00EC238A">
        <w:rPr>
          <w:sz w:val="24"/>
          <w:szCs w:val="24"/>
        </w:rPr>
        <w:t xml:space="preserve">history </w:t>
      </w:r>
      <w:r w:rsidR="00F93118" w:rsidRPr="00EC238A">
        <w:rPr>
          <w:sz w:val="24"/>
          <w:szCs w:val="24"/>
        </w:rPr>
        <w:t xml:space="preserve">were </w:t>
      </w:r>
      <w:r w:rsidRPr="00EC238A">
        <w:rPr>
          <w:sz w:val="24"/>
          <w:szCs w:val="24"/>
        </w:rPr>
        <w:t>about 40</w:t>
      </w:r>
      <w:r w:rsidR="00F93118" w:rsidRPr="00EC238A">
        <w:rPr>
          <w:sz w:val="24"/>
          <w:szCs w:val="24"/>
        </w:rPr>
        <w:t>% more likely to develop a</w:t>
      </w:r>
      <w:r w:rsidRPr="00EC238A">
        <w:rPr>
          <w:sz w:val="24"/>
          <w:szCs w:val="24"/>
        </w:rPr>
        <w:t xml:space="preserve"> </w:t>
      </w:r>
      <w:r w:rsidR="00F93118" w:rsidRPr="00EC238A">
        <w:rPr>
          <w:sz w:val="24"/>
          <w:szCs w:val="24"/>
        </w:rPr>
        <w:t>sleep disorder</w:t>
      </w:r>
      <w:r w:rsidRPr="00EC238A">
        <w:rPr>
          <w:sz w:val="24"/>
          <w:szCs w:val="24"/>
        </w:rPr>
        <w:t xml:space="preserve"> of any type</w:t>
      </w:r>
      <w:r w:rsidR="00EF2394">
        <w:rPr>
          <w:sz w:val="24"/>
          <w:szCs w:val="24"/>
        </w:rPr>
        <w:t xml:space="preserve"> </w:t>
      </w:r>
      <w:r w:rsidR="00C711E1">
        <w:rPr>
          <w:sz w:val="24"/>
          <w:szCs w:val="24"/>
        </w:rPr>
        <w:t>including sleep apnea, insomnia, hypersomnia, and sleep-related movement disorders.</w:t>
      </w:r>
      <w:r w:rsidR="00117655">
        <w:rPr>
          <w:sz w:val="24"/>
          <w:szCs w:val="24"/>
          <w:vertAlign w:val="superscript"/>
        </w:rPr>
        <w:t>1</w:t>
      </w:r>
      <w:r w:rsidR="00972259">
        <w:rPr>
          <w:sz w:val="24"/>
          <w:szCs w:val="24"/>
          <w:vertAlign w:val="superscript"/>
        </w:rPr>
        <w:t>2</w:t>
      </w:r>
      <w:r w:rsidR="00C711E1" w:rsidRPr="00EC238A">
        <w:rPr>
          <w:sz w:val="24"/>
          <w:szCs w:val="24"/>
        </w:rPr>
        <w:t xml:space="preserve"> </w:t>
      </w:r>
      <w:r w:rsidR="00C711E1">
        <w:rPr>
          <w:sz w:val="24"/>
          <w:szCs w:val="24"/>
        </w:rPr>
        <w:t>T</w:t>
      </w:r>
      <w:r w:rsidR="00EF2394">
        <w:rPr>
          <w:sz w:val="24"/>
          <w:szCs w:val="24"/>
        </w:rPr>
        <w:t xml:space="preserve">he association </w:t>
      </w:r>
      <w:r w:rsidR="00C237D2">
        <w:rPr>
          <w:sz w:val="24"/>
          <w:szCs w:val="24"/>
        </w:rPr>
        <w:t>with</w:t>
      </w:r>
      <w:r w:rsidR="00C711E1">
        <w:rPr>
          <w:sz w:val="24"/>
          <w:szCs w:val="24"/>
        </w:rPr>
        <w:t xml:space="preserve"> mTBI </w:t>
      </w:r>
      <w:r w:rsidR="00EF2394">
        <w:rPr>
          <w:sz w:val="24"/>
          <w:szCs w:val="24"/>
        </w:rPr>
        <w:t>remain</w:t>
      </w:r>
      <w:r w:rsidR="00C711E1">
        <w:rPr>
          <w:sz w:val="24"/>
          <w:szCs w:val="24"/>
        </w:rPr>
        <w:t>ed</w:t>
      </w:r>
      <w:r w:rsidR="00EF2394">
        <w:rPr>
          <w:sz w:val="24"/>
          <w:szCs w:val="24"/>
        </w:rPr>
        <w:t xml:space="preserve"> consistent over time</w:t>
      </w:r>
      <w:r w:rsidR="00C711E1">
        <w:rPr>
          <w:sz w:val="24"/>
          <w:szCs w:val="24"/>
        </w:rPr>
        <w:t>; PTSD had little effect</w:t>
      </w:r>
      <w:r w:rsidRPr="00EC238A">
        <w:rPr>
          <w:sz w:val="24"/>
          <w:szCs w:val="24"/>
        </w:rPr>
        <w:t>.</w:t>
      </w:r>
      <w:r w:rsidR="00117655">
        <w:rPr>
          <w:sz w:val="24"/>
          <w:szCs w:val="24"/>
          <w:vertAlign w:val="superscript"/>
        </w:rPr>
        <w:t>1</w:t>
      </w:r>
      <w:r w:rsidR="00972259">
        <w:rPr>
          <w:sz w:val="24"/>
          <w:szCs w:val="24"/>
          <w:vertAlign w:val="superscript"/>
        </w:rPr>
        <w:t>2</w:t>
      </w:r>
      <w:r w:rsidRPr="00EC238A">
        <w:rPr>
          <w:sz w:val="24"/>
          <w:szCs w:val="24"/>
        </w:rPr>
        <w:t xml:space="preserve"> </w:t>
      </w:r>
      <w:r w:rsidR="000F476E">
        <w:rPr>
          <w:sz w:val="24"/>
          <w:szCs w:val="24"/>
        </w:rPr>
        <w:t>Obstructive s</w:t>
      </w:r>
      <w:r w:rsidR="005E6504" w:rsidRPr="00EC238A">
        <w:rPr>
          <w:sz w:val="24"/>
          <w:szCs w:val="24"/>
        </w:rPr>
        <w:t>leep apnea has a stronger relationship to neurocognitive function than mTBI history</w:t>
      </w:r>
      <w:r w:rsidR="00EF2394">
        <w:rPr>
          <w:sz w:val="24"/>
          <w:szCs w:val="24"/>
        </w:rPr>
        <w:t>.</w:t>
      </w:r>
      <w:r w:rsidR="00972259">
        <w:rPr>
          <w:sz w:val="24"/>
          <w:szCs w:val="24"/>
          <w:vertAlign w:val="superscript"/>
        </w:rPr>
        <w:t>9</w:t>
      </w:r>
      <w:r w:rsidR="00EF2394">
        <w:rPr>
          <w:sz w:val="24"/>
          <w:szCs w:val="24"/>
        </w:rPr>
        <w:t xml:space="preserve"> </w:t>
      </w:r>
      <w:r w:rsidR="00EF2394" w:rsidRPr="00565CC2">
        <w:rPr>
          <w:rFonts w:eastAsia="Calibri"/>
          <w:sz w:val="24"/>
          <w:szCs w:val="24"/>
        </w:rPr>
        <w:t xml:space="preserve">Poor sleep </w:t>
      </w:r>
      <w:r w:rsidR="00EF2394">
        <w:rPr>
          <w:rFonts w:eastAsia="Calibri"/>
          <w:sz w:val="24"/>
          <w:szCs w:val="24"/>
        </w:rPr>
        <w:t>i</w:t>
      </w:r>
      <w:r w:rsidR="00EF2394" w:rsidRPr="00565CC2">
        <w:rPr>
          <w:rFonts w:eastAsia="Calibri"/>
          <w:sz w:val="24"/>
          <w:szCs w:val="24"/>
        </w:rPr>
        <w:t xml:space="preserve">s associated with </w:t>
      </w:r>
      <w:r w:rsidR="00C237D2" w:rsidRPr="00565CC2">
        <w:rPr>
          <w:rFonts w:eastAsia="Calibri"/>
          <w:sz w:val="24"/>
          <w:szCs w:val="24"/>
        </w:rPr>
        <w:t>sequelae of TBI</w:t>
      </w:r>
      <w:r w:rsidR="00C237D2">
        <w:rPr>
          <w:rFonts w:eastAsia="Calibri"/>
          <w:sz w:val="24"/>
          <w:szCs w:val="24"/>
        </w:rPr>
        <w:t xml:space="preserve"> including executive dysfunction</w:t>
      </w:r>
      <w:r w:rsidR="00C237D2" w:rsidRPr="00565CC2">
        <w:rPr>
          <w:rFonts w:eastAsia="Calibri"/>
          <w:sz w:val="24"/>
          <w:szCs w:val="24"/>
        </w:rPr>
        <w:t xml:space="preserve"> </w:t>
      </w:r>
      <w:r w:rsidR="00C237D2">
        <w:rPr>
          <w:rFonts w:eastAsia="Calibri"/>
          <w:sz w:val="24"/>
          <w:szCs w:val="24"/>
        </w:rPr>
        <w:t xml:space="preserve">and with </w:t>
      </w:r>
      <w:r w:rsidR="00EF2394" w:rsidRPr="00565CC2">
        <w:rPr>
          <w:rFonts w:eastAsia="Calibri"/>
          <w:sz w:val="24"/>
          <w:szCs w:val="24"/>
        </w:rPr>
        <w:t>exosomal microRNA differences previously implicated in psychiatric disorders, progressive neurodegeneration, and vascular physiology.</w:t>
      </w:r>
      <w:r w:rsidR="003C091D">
        <w:rPr>
          <w:rFonts w:eastAsia="Calibri"/>
          <w:sz w:val="24"/>
          <w:szCs w:val="24"/>
          <w:vertAlign w:val="superscript"/>
        </w:rPr>
        <w:t>1</w:t>
      </w:r>
      <w:r w:rsidR="00972259">
        <w:rPr>
          <w:rFonts w:eastAsia="Calibri"/>
          <w:sz w:val="24"/>
          <w:szCs w:val="24"/>
          <w:vertAlign w:val="superscript"/>
        </w:rPr>
        <w:t>3</w:t>
      </w:r>
    </w:p>
    <w:p w14:paraId="3E5C0A38" w14:textId="3F7DD74F" w:rsidR="005B55D4" w:rsidRPr="00974CAB" w:rsidRDefault="005B55D4" w:rsidP="005B55D4">
      <w:pPr>
        <w:pStyle w:val="ListParagraph"/>
        <w:numPr>
          <w:ilvl w:val="0"/>
          <w:numId w:val="10"/>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rFonts w:cstheme="minorHAnsi"/>
          <w:sz w:val="24"/>
          <w:szCs w:val="24"/>
        </w:rPr>
      </w:pPr>
      <w:r w:rsidRPr="003C1314">
        <w:rPr>
          <w:rFonts w:cstheme="minorHAnsi"/>
          <w:b/>
          <w:sz w:val="24"/>
          <w:szCs w:val="24"/>
        </w:rPr>
        <w:t>MTBI and Depression.</w:t>
      </w:r>
      <w:r w:rsidRPr="00B56F12">
        <w:rPr>
          <w:rFonts w:cstheme="minorHAnsi"/>
          <w:sz w:val="24"/>
          <w:szCs w:val="24"/>
        </w:rPr>
        <w:t xml:space="preserve"> </w:t>
      </w:r>
      <w:r w:rsidR="00974CAB" w:rsidRPr="00974CAB">
        <w:rPr>
          <w:rFonts w:cstheme="minorHAnsi"/>
          <w:sz w:val="24"/>
          <w:szCs w:val="24"/>
        </w:rPr>
        <w:t>Service Members and</w:t>
      </w:r>
      <w:r w:rsidR="00974CAB">
        <w:rPr>
          <w:rFonts w:cstheme="minorHAnsi"/>
          <w:b/>
          <w:sz w:val="24"/>
          <w:szCs w:val="24"/>
        </w:rPr>
        <w:t xml:space="preserve"> </w:t>
      </w:r>
      <w:r w:rsidR="003C1314">
        <w:rPr>
          <w:rFonts w:cstheme="minorHAnsi"/>
          <w:color w:val="212121"/>
          <w:sz w:val="24"/>
          <w:szCs w:val="24"/>
          <w:shd w:val="clear" w:color="auto" w:fill="FFFFFF"/>
        </w:rPr>
        <w:t>Veterans d</w:t>
      </w:r>
      <w:r w:rsidR="003C1314" w:rsidRPr="003C1314">
        <w:rPr>
          <w:rFonts w:cstheme="minorHAnsi"/>
          <w:color w:val="212121"/>
          <w:sz w:val="24"/>
          <w:szCs w:val="24"/>
          <w:shd w:val="clear" w:color="auto" w:fill="FFFFFF"/>
        </w:rPr>
        <w:t xml:space="preserve">epression symptoms were </w:t>
      </w:r>
      <w:r w:rsidR="003C1314">
        <w:rPr>
          <w:rFonts w:cstheme="minorHAnsi"/>
          <w:color w:val="212121"/>
          <w:sz w:val="24"/>
          <w:szCs w:val="24"/>
          <w:shd w:val="clear" w:color="auto" w:fill="FFFFFF"/>
        </w:rPr>
        <w:t xml:space="preserve">greater for those with </w:t>
      </w:r>
      <w:r w:rsidR="003C1314" w:rsidRPr="003C1314">
        <w:rPr>
          <w:rFonts w:cstheme="minorHAnsi"/>
          <w:color w:val="212121"/>
          <w:sz w:val="24"/>
          <w:szCs w:val="24"/>
          <w:shd w:val="clear" w:color="auto" w:fill="FFFFFF"/>
        </w:rPr>
        <w:t>a history of multiple mTBIs compared with those who had a single mTBI</w:t>
      </w:r>
      <w:r w:rsidR="003C1314">
        <w:rPr>
          <w:rFonts w:cstheme="minorHAnsi"/>
          <w:color w:val="212121"/>
          <w:sz w:val="24"/>
          <w:szCs w:val="24"/>
          <w:shd w:val="clear" w:color="auto" w:fill="FFFFFF"/>
        </w:rPr>
        <w:t xml:space="preserve"> or no TBI.</w:t>
      </w:r>
      <w:r w:rsidR="003C1314">
        <w:rPr>
          <w:rFonts w:eastAsia="Calibri"/>
          <w:sz w:val="24"/>
          <w:szCs w:val="24"/>
          <w:vertAlign w:val="superscript"/>
        </w:rPr>
        <w:t>1</w:t>
      </w:r>
      <w:r w:rsidR="00972259">
        <w:rPr>
          <w:rFonts w:eastAsia="Calibri"/>
          <w:sz w:val="24"/>
          <w:szCs w:val="24"/>
          <w:vertAlign w:val="superscript"/>
        </w:rPr>
        <w:t>4</w:t>
      </w:r>
      <w:r w:rsidR="003C1314">
        <w:rPr>
          <w:rFonts w:cstheme="minorHAnsi"/>
          <w:color w:val="212121"/>
          <w:sz w:val="24"/>
          <w:szCs w:val="24"/>
          <w:shd w:val="clear" w:color="auto" w:fill="FFFFFF"/>
        </w:rPr>
        <w:t xml:space="preserve"> </w:t>
      </w:r>
      <w:r w:rsidR="00974CAB" w:rsidRPr="00974CAB">
        <w:rPr>
          <w:rFonts w:cstheme="minorHAnsi"/>
          <w:sz w:val="24"/>
          <w:szCs w:val="24"/>
        </w:rPr>
        <w:t>Service Members and</w:t>
      </w:r>
      <w:r w:rsidR="00974CAB">
        <w:rPr>
          <w:rFonts w:cstheme="minorHAnsi"/>
          <w:b/>
          <w:sz w:val="24"/>
          <w:szCs w:val="24"/>
        </w:rPr>
        <w:t xml:space="preserve"> </w:t>
      </w:r>
      <w:r w:rsidR="003C1314">
        <w:rPr>
          <w:rFonts w:cstheme="minorHAnsi"/>
          <w:color w:val="212121"/>
          <w:sz w:val="24"/>
          <w:szCs w:val="24"/>
          <w:shd w:val="clear" w:color="auto" w:fill="FFFFFF"/>
        </w:rPr>
        <w:t>Veterans d</w:t>
      </w:r>
      <w:r w:rsidR="003C1314" w:rsidRPr="003C1314">
        <w:rPr>
          <w:rFonts w:cstheme="minorHAnsi"/>
          <w:color w:val="212121"/>
          <w:sz w:val="24"/>
          <w:szCs w:val="24"/>
          <w:shd w:val="clear" w:color="auto" w:fill="FFFFFF"/>
        </w:rPr>
        <w:t xml:space="preserve">epression symptoms were </w:t>
      </w:r>
      <w:r w:rsidR="003C1314">
        <w:rPr>
          <w:rFonts w:cstheme="minorHAnsi"/>
          <w:color w:val="212121"/>
          <w:sz w:val="24"/>
          <w:szCs w:val="24"/>
          <w:shd w:val="clear" w:color="auto" w:fill="FFFFFF"/>
        </w:rPr>
        <w:t xml:space="preserve">greater for those </w:t>
      </w:r>
      <w:r w:rsidR="003C1314" w:rsidRPr="003C1314">
        <w:rPr>
          <w:rFonts w:cstheme="minorHAnsi"/>
          <w:color w:val="212121"/>
          <w:sz w:val="24"/>
          <w:szCs w:val="24"/>
          <w:shd w:val="clear" w:color="auto" w:fill="FFFFFF"/>
        </w:rPr>
        <w:t>who had a single mTBI</w:t>
      </w:r>
      <w:r w:rsidR="003C1314">
        <w:rPr>
          <w:rFonts w:cstheme="minorHAnsi"/>
          <w:color w:val="212121"/>
          <w:sz w:val="24"/>
          <w:szCs w:val="24"/>
          <w:shd w:val="clear" w:color="auto" w:fill="FFFFFF"/>
        </w:rPr>
        <w:t xml:space="preserve"> compared to no TBI</w:t>
      </w:r>
      <w:r w:rsidR="003C1314" w:rsidRPr="003C1314">
        <w:rPr>
          <w:rFonts w:cstheme="minorHAnsi"/>
          <w:color w:val="212121"/>
          <w:sz w:val="24"/>
          <w:szCs w:val="24"/>
          <w:shd w:val="clear" w:color="auto" w:fill="FFFFFF"/>
        </w:rPr>
        <w:t>.</w:t>
      </w:r>
      <w:r w:rsidR="003C1314">
        <w:rPr>
          <w:rFonts w:eastAsia="Calibri"/>
          <w:sz w:val="24"/>
          <w:szCs w:val="24"/>
          <w:vertAlign w:val="superscript"/>
        </w:rPr>
        <w:t>1</w:t>
      </w:r>
      <w:r w:rsidR="00972259">
        <w:rPr>
          <w:rFonts w:eastAsia="Calibri"/>
          <w:sz w:val="24"/>
          <w:szCs w:val="24"/>
          <w:vertAlign w:val="superscript"/>
        </w:rPr>
        <w:t>4</w:t>
      </w:r>
      <w:r w:rsidR="003C1314" w:rsidRPr="003C1314">
        <w:rPr>
          <w:rFonts w:cstheme="minorHAnsi"/>
          <w:color w:val="212121"/>
          <w:sz w:val="24"/>
          <w:szCs w:val="24"/>
          <w:shd w:val="clear" w:color="auto" w:fill="FFFFFF"/>
        </w:rPr>
        <w:t xml:space="preserve"> Combat deployment-related injuries were associated with higher depression scores than injuries occurring in non-combat or civilian settings.</w:t>
      </w:r>
      <w:r w:rsidR="003C1314">
        <w:rPr>
          <w:rFonts w:eastAsia="Calibri"/>
          <w:sz w:val="24"/>
          <w:szCs w:val="24"/>
          <w:vertAlign w:val="superscript"/>
        </w:rPr>
        <w:t>1</w:t>
      </w:r>
      <w:r w:rsidR="00972259">
        <w:rPr>
          <w:rFonts w:eastAsia="Calibri"/>
          <w:sz w:val="24"/>
          <w:szCs w:val="24"/>
          <w:vertAlign w:val="superscript"/>
        </w:rPr>
        <w:t>4</w:t>
      </w:r>
      <w:r w:rsidR="003C1314" w:rsidRPr="003C1314">
        <w:rPr>
          <w:rFonts w:cstheme="minorHAnsi"/>
          <w:color w:val="212121"/>
          <w:sz w:val="24"/>
          <w:szCs w:val="24"/>
          <w:shd w:val="clear" w:color="auto" w:fill="FFFFFF"/>
        </w:rPr>
        <w:t xml:space="preserve"> </w:t>
      </w:r>
      <w:r w:rsidR="00974CAB" w:rsidRPr="00974CAB">
        <w:rPr>
          <w:rFonts w:cstheme="minorHAnsi"/>
          <w:sz w:val="24"/>
          <w:szCs w:val="24"/>
        </w:rPr>
        <w:t xml:space="preserve">Service Members and Veterans </w:t>
      </w:r>
      <w:r w:rsidR="003C1314" w:rsidRPr="00974CAB">
        <w:rPr>
          <w:rFonts w:cstheme="minorHAnsi"/>
          <w:color w:val="212121"/>
          <w:sz w:val="24"/>
          <w:szCs w:val="24"/>
          <w:shd w:val="clear" w:color="auto" w:fill="FFFFFF"/>
        </w:rPr>
        <w:t>increased rates of depression after mTBI persisted in the absence of PTSD.</w:t>
      </w:r>
      <w:r w:rsidR="00974CAB">
        <w:rPr>
          <w:rFonts w:eastAsia="Calibri"/>
          <w:sz w:val="24"/>
          <w:szCs w:val="24"/>
          <w:vertAlign w:val="superscript"/>
        </w:rPr>
        <w:t>1</w:t>
      </w:r>
      <w:r w:rsidR="00972259">
        <w:rPr>
          <w:rFonts w:eastAsia="Calibri"/>
          <w:sz w:val="24"/>
          <w:szCs w:val="24"/>
          <w:vertAlign w:val="superscript"/>
        </w:rPr>
        <w:t>4</w:t>
      </w:r>
    </w:p>
    <w:p w14:paraId="1EC24291" w14:textId="6C86E70F" w:rsidR="00D42CFF" w:rsidRPr="00063091" w:rsidRDefault="00E515D6" w:rsidP="00200D35">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t xml:space="preserve">Clinical </w:t>
      </w:r>
      <w:r w:rsidR="00D42CFF" w:rsidRPr="00063091">
        <w:rPr>
          <w:b/>
          <w:color w:val="1F497D" w:themeColor="text2"/>
          <w:sz w:val="28"/>
          <w:szCs w:val="24"/>
        </w:rPr>
        <w:t>Impact</w:t>
      </w:r>
    </w:p>
    <w:p w14:paraId="462CE7C4" w14:textId="6DE6AB56" w:rsidR="00E82393" w:rsidRDefault="00E82393" w:rsidP="007C5683">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Pr>
          <w:b/>
          <w:sz w:val="24"/>
          <w:szCs w:val="24"/>
        </w:rPr>
        <w:t>Inclusion of Service Member and Veteran Issues in Revised mTBI Case Definition.</w:t>
      </w:r>
      <w:r>
        <w:rPr>
          <w:sz w:val="24"/>
          <w:szCs w:val="24"/>
        </w:rPr>
        <w:t xml:space="preserve"> </w:t>
      </w:r>
      <w:r w:rsidRPr="00B90B77">
        <w:rPr>
          <w:sz w:val="24"/>
          <w:szCs w:val="24"/>
        </w:rPr>
        <w:t>LIMBIC-CENC findings</w:t>
      </w:r>
      <w:r>
        <w:rPr>
          <w:sz w:val="24"/>
          <w:szCs w:val="24"/>
        </w:rPr>
        <w:t xml:space="preserve"> and research leadership played a critical role in the consideration and incorporation of </w:t>
      </w:r>
      <w:r w:rsidR="008748A6" w:rsidRPr="008748A6">
        <w:rPr>
          <w:sz w:val="24"/>
          <w:szCs w:val="24"/>
        </w:rPr>
        <w:t>Service Member and Veteran</w:t>
      </w:r>
      <w:r w:rsidR="008748A6">
        <w:rPr>
          <w:sz w:val="24"/>
          <w:szCs w:val="24"/>
        </w:rPr>
        <w:t>-centric</w:t>
      </w:r>
      <w:r w:rsidR="008748A6" w:rsidRPr="008748A6">
        <w:rPr>
          <w:sz w:val="24"/>
          <w:szCs w:val="24"/>
        </w:rPr>
        <w:t xml:space="preserve"> </w:t>
      </w:r>
      <w:r w:rsidR="008748A6">
        <w:rPr>
          <w:sz w:val="24"/>
          <w:szCs w:val="24"/>
        </w:rPr>
        <w:t>i</w:t>
      </w:r>
      <w:r w:rsidR="008748A6" w:rsidRPr="008748A6">
        <w:rPr>
          <w:sz w:val="24"/>
          <w:szCs w:val="24"/>
        </w:rPr>
        <w:t>ssues</w:t>
      </w:r>
      <w:r w:rsidR="008748A6">
        <w:rPr>
          <w:sz w:val="24"/>
          <w:szCs w:val="24"/>
        </w:rPr>
        <w:t xml:space="preserve"> into the 2023 Revised ACRM mTBI Case Definition.</w:t>
      </w:r>
      <w:r w:rsidR="008748A6">
        <w:rPr>
          <w:rFonts w:eastAsia="Calibri"/>
          <w:sz w:val="24"/>
          <w:szCs w:val="24"/>
          <w:vertAlign w:val="superscript"/>
        </w:rPr>
        <w:t>1</w:t>
      </w:r>
      <w:r w:rsidR="00972259">
        <w:rPr>
          <w:rFonts w:eastAsia="Calibri"/>
          <w:sz w:val="24"/>
          <w:szCs w:val="24"/>
          <w:vertAlign w:val="superscript"/>
        </w:rPr>
        <w:t>5</w:t>
      </w:r>
    </w:p>
    <w:p w14:paraId="73BFFBE2" w14:textId="681841C4" w:rsidR="007C5683" w:rsidRPr="00B90B77" w:rsidRDefault="00AA2049" w:rsidP="007C5683">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Pr>
          <w:b/>
          <w:sz w:val="24"/>
          <w:szCs w:val="24"/>
        </w:rPr>
        <w:t xml:space="preserve">Policy </w:t>
      </w:r>
      <w:r w:rsidR="007C5683" w:rsidRPr="00B90B77">
        <w:rPr>
          <w:b/>
          <w:sz w:val="24"/>
          <w:szCs w:val="24"/>
        </w:rPr>
        <w:t>Recommendations for Holistic Approaches to mTBI Treatment</w:t>
      </w:r>
      <w:r w:rsidR="007C5683" w:rsidRPr="00B90B77">
        <w:rPr>
          <w:sz w:val="24"/>
          <w:szCs w:val="24"/>
        </w:rPr>
        <w:t xml:space="preserve">. LIMBIC-CENC findings </w:t>
      </w:r>
      <w:r w:rsidR="00962762">
        <w:rPr>
          <w:sz w:val="24"/>
          <w:szCs w:val="24"/>
        </w:rPr>
        <w:t xml:space="preserve">have helped differentiate the effects </w:t>
      </w:r>
      <w:r w:rsidR="007C5683" w:rsidRPr="00B90B77">
        <w:rPr>
          <w:sz w:val="24"/>
          <w:szCs w:val="24"/>
        </w:rPr>
        <w:t>of co-occurring mTBI, PTSD, depression, pain</w:t>
      </w:r>
      <w:r w:rsidR="00F32BDD">
        <w:rPr>
          <w:sz w:val="24"/>
          <w:szCs w:val="24"/>
        </w:rPr>
        <w:t>, behavioral dyscontrol,</w:t>
      </w:r>
      <w:r w:rsidR="007C5683" w:rsidRPr="00B90B77">
        <w:rPr>
          <w:sz w:val="24"/>
          <w:szCs w:val="24"/>
        </w:rPr>
        <w:t xml:space="preserve"> and sleep disturbance</w:t>
      </w:r>
      <w:r w:rsidR="00962762">
        <w:rPr>
          <w:sz w:val="24"/>
          <w:szCs w:val="24"/>
        </w:rPr>
        <w:t>. These findings</w:t>
      </w:r>
      <w:r w:rsidR="007C5683" w:rsidRPr="00B90B77">
        <w:rPr>
          <w:sz w:val="24"/>
          <w:szCs w:val="24"/>
        </w:rPr>
        <w:t xml:space="preserve"> extend the current literature and </w:t>
      </w:r>
      <w:r w:rsidR="00AE0A17">
        <w:rPr>
          <w:sz w:val="24"/>
          <w:szCs w:val="24"/>
        </w:rPr>
        <w:t xml:space="preserve">strengthen </w:t>
      </w:r>
      <w:r w:rsidR="007C5683" w:rsidRPr="00B90B77">
        <w:rPr>
          <w:sz w:val="24"/>
          <w:szCs w:val="24"/>
        </w:rPr>
        <w:t>evidence for DOD and V</w:t>
      </w:r>
      <w:r>
        <w:rPr>
          <w:sz w:val="24"/>
          <w:szCs w:val="24"/>
        </w:rPr>
        <w:t>H</w:t>
      </w:r>
      <w:r w:rsidR="007C5683" w:rsidRPr="00B90B77">
        <w:rPr>
          <w:sz w:val="24"/>
          <w:szCs w:val="24"/>
        </w:rPr>
        <w:t xml:space="preserve">A </w:t>
      </w:r>
      <w:r w:rsidR="007C5683" w:rsidRPr="00B90B77">
        <w:rPr>
          <w:sz w:val="24"/>
          <w:szCs w:val="24"/>
        </w:rPr>
        <w:lastRenderedPageBreak/>
        <w:t>healthcare policies that emphasize</w:t>
      </w:r>
      <w:r w:rsidR="002C76EE">
        <w:rPr>
          <w:sz w:val="24"/>
          <w:szCs w:val="24"/>
        </w:rPr>
        <w:t>: (1)</w:t>
      </w:r>
      <w:r w:rsidR="007C5683" w:rsidRPr="00B90B77">
        <w:rPr>
          <w:sz w:val="24"/>
          <w:szCs w:val="24"/>
        </w:rPr>
        <w:t xml:space="preserve"> early, comprehensive</w:t>
      </w:r>
      <w:r w:rsidR="00B90B77" w:rsidRPr="00B90B77">
        <w:rPr>
          <w:sz w:val="24"/>
          <w:szCs w:val="24"/>
        </w:rPr>
        <w:t xml:space="preserve">, </w:t>
      </w:r>
      <w:r w:rsidR="00AE0A17">
        <w:rPr>
          <w:sz w:val="24"/>
          <w:szCs w:val="24"/>
        </w:rPr>
        <w:t xml:space="preserve">assessment and </w:t>
      </w:r>
      <w:r w:rsidR="00962762">
        <w:rPr>
          <w:sz w:val="24"/>
          <w:szCs w:val="24"/>
        </w:rPr>
        <w:t xml:space="preserve">personalized, </w:t>
      </w:r>
      <w:r w:rsidR="002C76EE">
        <w:rPr>
          <w:sz w:val="24"/>
          <w:szCs w:val="24"/>
        </w:rPr>
        <w:t xml:space="preserve">(2) </w:t>
      </w:r>
      <w:r w:rsidR="00B90B77" w:rsidRPr="00B90B77">
        <w:rPr>
          <w:sz w:val="24"/>
          <w:szCs w:val="24"/>
        </w:rPr>
        <w:t xml:space="preserve">holistic treatment </w:t>
      </w:r>
      <w:r w:rsidR="00AE0A17">
        <w:rPr>
          <w:sz w:val="24"/>
          <w:szCs w:val="24"/>
        </w:rPr>
        <w:t xml:space="preserve">to manage </w:t>
      </w:r>
      <w:r w:rsidR="00B90B77" w:rsidRPr="00B90B77">
        <w:rPr>
          <w:sz w:val="24"/>
          <w:szCs w:val="24"/>
        </w:rPr>
        <w:t>symptom</w:t>
      </w:r>
      <w:r w:rsidR="00AE0A17">
        <w:rPr>
          <w:sz w:val="24"/>
          <w:szCs w:val="24"/>
        </w:rPr>
        <w:t>s and reduce chronicity</w:t>
      </w:r>
      <w:r w:rsidR="002C76EE">
        <w:rPr>
          <w:sz w:val="24"/>
          <w:szCs w:val="24"/>
        </w:rPr>
        <w:t>, and (3) improved social support systems</w:t>
      </w:r>
      <w:r w:rsidR="00B90B77" w:rsidRPr="00B90B77">
        <w:rPr>
          <w:sz w:val="24"/>
          <w:szCs w:val="24"/>
        </w:rPr>
        <w:t xml:space="preserve">. </w:t>
      </w:r>
      <w:r w:rsidR="007C5683" w:rsidRPr="00B90B77">
        <w:rPr>
          <w:sz w:val="24"/>
          <w:szCs w:val="24"/>
        </w:rPr>
        <w:t xml:space="preserve">When treating </w:t>
      </w:r>
      <w:r w:rsidR="00534CF9">
        <w:rPr>
          <w:sz w:val="24"/>
          <w:szCs w:val="24"/>
        </w:rPr>
        <w:t xml:space="preserve"> </w:t>
      </w:r>
      <w:r w:rsidR="00B90B77" w:rsidRPr="00B90B77">
        <w:rPr>
          <w:sz w:val="24"/>
          <w:szCs w:val="24"/>
        </w:rPr>
        <w:t>S</w:t>
      </w:r>
      <w:r w:rsidR="00B90B77">
        <w:rPr>
          <w:sz w:val="24"/>
          <w:szCs w:val="24"/>
        </w:rPr>
        <w:t xml:space="preserve">ervice </w:t>
      </w:r>
      <w:r w:rsidR="00B90B77" w:rsidRPr="00B90B77">
        <w:rPr>
          <w:sz w:val="24"/>
          <w:szCs w:val="24"/>
        </w:rPr>
        <w:t>M</w:t>
      </w:r>
      <w:r w:rsidR="00B90B77">
        <w:rPr>
          <w:sz w:val="24"/>
          <w:szCs w:val="24"/>
        </w:rPr>
        <w:t>ember</w:t>
      </w:r>
      <w:r w:rsidR="00B90B77" w:rsidRPr="00B90B77">
        <w:rPr>
          <w:sz w:val="24"/>
          <w:szCs w:val="24"/>
        </w:rPr>
        <w:t>s and V</w:t>
      </w:r>
      <w:r w:rsidR="00B90B77">
        <w:rPr>
          <w:sz w:val="24"/>
          <w:szCs w:val="24"/>
        </w:rPr>
        <w:t xml:space="preserve">eterans </w:t>
      </w:r>
      <w:r w:rsidR="002C76EE">
        <w:rPr>
          <w:sz w:val="24"/>
          <w:szCs w:val="24"/>
        </w:rPr>
        <w:t xml:space="preserve">with a history of </w:t>
      </w:r>
      <w:r w:rsidR="002C76EE" w:rsidRPr="00B90B77">
        <w:rPr>
          <w:sz w:val="24"/>
          <w:szCs w:val="24"/>
        </w:rPr>
        <w:t>mTBI</w:t>
      </w:r>
      <w:r w:rsidR="002C76EE">
        <w:rPr>
          <w:sz w:val="24"/>
          <w:szCs w:val="24"/>
        </w:rPr>
        <w:t xml:space="preserve"> and </w:t>
      </w:r>
      <w:r w:rsidR="007C5683" w:rsidRPr="00B90B77">
        <w:rPr>
          <w:sz w:val="24"/>
          <w:szCs w:val="24"/>
        </w:rPr>
        <w:t xml:space="preserve">chronic cognitive performance issues, employing a holistic approach </w:t>
      </w:r>
      <w:r w:rsidR="00B90B77">
        <w:rPr>
          <w:sz w:val="24"/>
          <w:szCs w:val="24"/>
        </w:rPr>
        <w:t xml:space="preserve">is important to </w:t>
      </w:r>
      <w:r w:rsidR="007C5683" w:rsidRPr="00B90B77">
        <w:rPr>
          <w:sz w:val="24"/>
          <w:szCs w:val="24"/>
        </w:rPr>
        <w:t xml:space="preserve">assess and treat </w:t>
      </w:r>
      <w:r w:rsidR="00AE0A17">
        <w:rPr>
          <w:sz w:val="24"/>
          <w:szCs w:val="24"/>
        </w:rPr>
        <w:t xml:space="preserve">the most common </w:t>
      </w:r>
      <w:r w:rsidR="007C5683" w:rsidRPr="00B90B77">
        <w:rPr>
          <w:sz w:val="24"/>
          <w:szCs w:val="24"/>
        </w:rPr>
        <w:t>causes</w:t>
      </w:r>
      <w:r w:rsidR="00796731">
        <w:rPr>
          <w:sz w:val="24"/>
          <w:szCs w:val="24"/>
        </w:rPr>
        <w:t>, i.e.,</w:t>
      </w:r>
      <w:r w:rsidR="00AE0A17">
        <w:rPr>
          <w:sz w:val="24"/>
          <w:szCs w:val="24"/>
        </w:rPr>
        <w:t xml:space="preserve"> </w:t>
      </w:r>
      <w:r w:rsidR="007C5683" w:rsidRPr="00B90B77">
        <w:rPr>
          <w:sz w:val="24"/>
          <w:szCs w:val="24"/>
        </w:rPr>
        <w:t>sleep disorders, PTSD and pain.</w:t>
      </w:r>
    </w:p>
    <w:p w14:paraId="735C0316" w14:textId="636E95FD" w:rsidR="00931F5C" w:rsidRDefault="00F32FF3" w:rsidP="00931F5C">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Pr>
          <w:b/>
          <w:sz w:val="24"/>
          <w:szCs w:val="24"/>
        </w:rPr>
        <w:t xml:space="preserve">Recommendations </w:t>
      </w:r>
      <w:r w:rsidR="00931F5C" w:rsidRPr="007C5683">
        <w:rPr>
          <w:b/>
          <w:sz w:val="24"/>
          <w:szCs w:val="24"/>
        </w:rPr>
        <w:t>for Early Sleep Assessment and Treatment</w:t>
      </w:r>
      <w:r w:rsidR="00931F5C">
        <w:rPr>
          <w:sz w:val="24"/>
          <w:szCs w:val="24"/>
        </w:rPr>
        <w:t xml:space="preserve">. </w:t>
      </w:r>
      <w:r>
        <w:rPr>
          <w:sz w:val="24"/>
          <w:szCs w:val="24"/>
        </w:rPr>
        <w:t xml:space="preserve">Growing and converging biological (serum markers, neuroimaging) and epidemiological (prognostic) findings from LIMBIC-CENC researchers </w:t>
      </w:r>
      <w:r w:rsidR="00642A96">
        <w:rPr>
          <w:sz w:val="24"/>
          <w:szCs w:val="24"/>
        </w:rPr>
        <w:t xml:space="preserve">point to </w:t>
      </w:r>
      <w:r w:rsidR="00C83F3E">
        <w:rPr>
          <w:sz w:val="24"/>
          <w:szCs w:val="24"/>
        </w:rPr>
        <w:t xml:space="preserve">sleep disturbance as a potential primary root cause for </w:t>
      </w:r>
      <w:r w:rsidR="00C83F3E" w:rsidRPr="007C5683">
        <w:rPr>
          <w:sz w:val="24"/>
          <w:szCs w:val="24"/>
        </w:rPr>
        <w:t>S</w:t>
      </w:r>
      <w:r w:rsidR="00C83F3E">
        <w:rPr>
          <w:sz w:val="24"/>
          <w:szCs w:val="24"/>
        </w:rPr>
        <w:t xml:space="preserve">ervice </w:t>
      </w:r>
      <w:r w:rsidR="00C83F3E" w:rsidRPr="007C5683">
        <w:rPr>
          <w:sz w:val="24"/>
          <w:szCs w:val="24"/>
        </w:rPr>
        <w:t>M</w:t>
      </w:r>
      <w:r w:rsidR="00C83F3E">
        <w:rPr>
          <w:sz w:val="24"/>
          <w:szCs w:val="24"/>
        </w:rPr>
        <w:t>ember</w:t>
      </w:r>
      <w:r w:rsidR="00C83F3E" w:rsidRPr="007C5683">
        <w:rPr>
          <w:sz w:val="24"/>
          <w:szCs w:val="24"/>
        </w:rPr>
        <w:t>s and V</w:t>
      </w:r>
      <w:r w:rsidR="00C83F3E">
        <w:rPr>
          <w:sz w:val="24"/>
          <w:szCs w:val="24"/>
        </w:rPr>
        <w:t>eterans cascading post-mTBI symptoms</w:t>
      </w:r>
      <w:r w:rsidR="00117655">
        <w:rPr>
          <w:sz w:val="24"/>
          <w:szCs w:val="24"/>
        </w:rPr>
        <w:t xml:space="preserve"> and neurodegeneration risk</w:t>
      </w:r>
      <w:r w:rsidR="00C83F3E">
        <w:rPr>
          <w:sz w:val="24"/>
          <w:szCs w:val="24"/>
        </w:rPr>
        <w:t xml:space="preserve">. </w:t>
      </w:r>
      <w:r w:rsidR="00931F5C" w:rsidRPr="007C5683">
        <w:rPr>
          <w:sz w:val="24"/>
          <w:szCs w:val="24"/>
        </w:rPr>
        <w:t>Early identification</w:t>
      </w:r>
      <w:r w:rsidR="00C83F3E">
        <w:rPr>
          <w:sz w:val="24"/>
          <w:szCs w:val="24"/>
        </w:rPr>
        <w:t>, treatment,</w:t>
      </w:r>
      <w:r w:rsidR="00931F5C" w:rsidRPr="007C5683">
        <w:rPr>
          <w:sz w:val="24"/>
          <w:szCs w:val="24"/>
        </w:rPr>
        <w:t xml:space="preserve"> and prevention strategies for </w:t>
      </w:r>
      <w:r w:rsidR="00C83F3E">
        <w:rPr>
          <w:sz w:val="24"/>
          <w:szCs w:val="24"/>
        </w:rPr>
        <w:t xml:space="preserve">post-TBI </w:t>
      </w:r>
      <w:r w:rsidR="00931F5C" w:rsidRPr="007C5683">
        <w:rPr>
          <w:sz w:val="24"/>
          <w:szCs w:val="24"/>
        </w:rPr>
        <w:t xml:space="preserve">sleep disorders are critical </w:t>
      </w:r>
      <w:r w:rsidR="00C83F3E">
        <w:rPr>
          <w:sz w:val="24"/>
          <w:szCs w:val="24"/>
        </w:rPr>
        <w:t xml:space="preserve">but understanding the evolution of post-TBI sleep disturbance </w:t>
      </w:r>
      <w:r w:rsidR="00117655">
        <w:rPr>
          <w:sz w:val="24"/>
          <w:szCs w:val="24"/>
        </w:rPr>
        <w:t xml:space="preserve">and its impact on other symptoms </w:t>
      </w:r>
      <w:r w:rsidR="00C83F3E">
        <w:rPr>
          <w:sz w:val="24"/>
          <w:szCs w:val="24"/>
        </w:rPr>
        <w:t xml:space="preserve">remains elusive. </w:t>
      </w:r>
      <w:r w:rsidR="00931F5C" w:rsidRPr="007C5683">
        <w:rPr>
          <w:sz w:val="24"/>
          <w:szCs w:val="24"/>
        </w:rPr>
        <w:t>LIMBIC-CENC research</w:t>
      </w:r>
      <w:r w:rsidR="00C83F3E">
        <w:rPr>
          <w:sz w:val="24"/>
          <w:szCs w:val="24"/>
        </w:rPr>
        <w:t xml:space="preserve"> protocol development is underway to identify </w:t>
      </w:r>
      <w:r w:rsidR="00AA2049">
        <w:rPr>
          <w:sz w:val="24"/>
          <w:szCs w:val="24"/>
        </w:rPr>
        <w:t xml:space="preserve">real-time, longitudinal </w:t>
      </w:r>
      <w:r w:rsidR="00C83F3E">
        <w:rPr>
          <w:sz w:val="24"/>
          <w:szCs w:val="24"/>
        </w:rPr>
        <w:t>digital biomarkers of early sleep, depression, acute stress, and p</w:t>
      </w:r>
      <w:r w:rsidR="006B6CA2">
        <w:rPr>
          <w:sz w:val="24"/>
          <w:szCs w:val="24"/>
        </w:rPr>
        <w:t>ain to better inform post-</w:t>
      </w:r>
      <w:r w:rsidR="00117655">
        <w:rPr>
          <w:sz w:val="24"/>
          <w:szCs w:val="24"/>
        </w:rPr>
        <w:t>m</w:t>
      </w:r>
      <w:r w:rsidR="006B6CA2">
        <w:rPr>
          <w:sz w:val="24"/>
          <w:szCs w:val="24"/>
        </w:rPr>
        <w:t xml:space="preserve">TBI symptom evolution, </w:t>
      </w:r>
      <w:r w:rsidR="00931F5C" w:rsidRPr="007C5683">
        <w:rPr>
          <w:sz w:val="24"/>
          <w:szCs w:val="24"/>
        </w:rPr>
        <w:t>prognosis</w:t>
      </w:r>
      <w:r w:rsidR="006B6CA2">
        <w:rPr>
          <w:sz w:val="24"/>
          <w:szCs w:val="24"/>
        </w:rPr>
        <w:t>,</w:t>
      </w:r>
      <w:r w:rsidR="00931F5C" w:rsidRPr="007C5683">
        <w:rPr>
          <w:sz w:val="24"/>
          <w:szCs w:val="24"/>
        </w:rPr>
        <w:t xml:space="preserve"> and treatment targets. </w:t>
      </w:r>
    </w:p>
    <w:p w14:paraId="247CFE4D" w14:textId="1C84476F" w:rsidR="006954E2" w:rsidRPr="006954E2" w:rsidRDefault="006954E2" w:rsidP="00D653B1">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sidRPr="00575D63">
        <w:rPr>
          <w:b/>
          <w:sz w:val="24"/>
          <w:szCs w:val="24"/>
        </w:rPr>
        <w:t>Brain Health and Wellness Tool</w:t>
      </w:r>
      <w:r>
        <w:rPr>
          <w:sz w:val="24"/>
          <w:szCs w:val="24"/>
        </w:rPr>
        <w:t>. LIMBIC-CENC findings on preventable</w:t>
      </w:r>
      <w:r w:rsidRPr="0004138E">
        <w:rPr>
          <w:sz w:val="24"/>
          <w:szCs w:val="24"/>
        </w:rPr>
        <w:t xml:space="preserve"> behavioral health risk factors </w:t>
      </w:r>
      <w:r>
        <w:rPr>
          <w:sz w:val="24"/>
          <w:szCs w:val="24"/>
        </w:rPr>
        <w:t xml:space="preserve">after TBI, synthesized with the current research literature, led to the development, testing, and release of the LIMBIC-CENC a brain health and wellness survey that generates personalized recommendations to support Service Members and Veterans efforts to identify and self-manage their health-related </w:t>
      </w:r>
      <w:r w:rsidRPr="0004138E">
        <w:rPr>
          <w:sz w:val="24"/>
          <w:szCs w:val="24"/>
        </w:rPr>
        <w:t xml:space="preserve">risk </w:t>
      </w:r>
      <w:r>
        <w:rPr>
          <w:sz w:val="24"/>
          <w:szCs w:val="24"/>
        </w:rPr>
        <w:t xml:space="preserve">factors after TBI. The </w:t>
      </w:r>
      <w:r w:rsidRPr="00CD48C7">
        <w:rPr>
          <w:sz w:val="24"/>
          <w:szCs w:val="24"/>
        </w:rPr>
        <w:t xml:space="preserve">LIMBIC-CENC’s </w:t>
      </w:r>
      <w:r w:rsidRPr="00890884">
        <w:rPr>
          <w:sz w:val="24"/>
          <w:szCs w:val="24"/>
        </w:rPr>
        <w:t>Brain Health and Wellness Video Series</w:t>
      </w:r>
      <w:r w:rsidRPr="00CD48C7">
        <w:rPr>
          <w:sz w:val="24"/>
          <w:szCs w:val="24"/>
        </w:rPr>
        <w:t xml:space="preserve"> </w:t>
      </w:r>
      <w:r>
        <w:rPr>
          <w:sz w:val="24"/>
          <w:szCs w:val="24"/>
        </w:rPr>
        <w:t xml:space="preserve">complements the survey tool and </w:t>
      </w:r>
      <w:r w:rsidRPr="00CD48C7">
        <w:rPr>
          <w:sz w:val="24"/>
          <w:szCs w:val="24"/>
        </w:rPr>
        <w:t>provides a</w:t>
      </w:r>
      <w:r>
        <w:rPr>
          <w:sz w:val="24"/>
          <w:szCs w:val="24"/>
        </w:rPr>
        <w:t xml:space="preserve"> series of</w:t>
      </w:r>
      <w:r w:rsidRPr="00CD48C7">
        <w:rPr>
          <w:sz w:val="24"/>
          <w:szCs w:val="24"/>
        </w:rPr>
        <w:t xml:space="preserve"> 4</w:t>
      </w:r>
      <w:r>
        <w:rPr>
          <w:sz w:val="24"/>
          <w:szCs w:val="24"/>
        </w:rPr>
        <w:t>-</w:t>
      </w:r>
      <w:r w:rsidRPr="00CD48C7">
        <w:rPr>
          <w:sz w:val="24"/>
          <w:szCs w:val="24"/>
        </w:rPr>
        <w:t>minute primer</w:t>
      </w:r>
      <w:r>
        <w:rPr>
          <w:sz w:val="24"/>
          <w:szCs w:val="24"/>
        </w:rPr>
        <w:t>s</w:t>
      </w:r>
      <w:r w:rsidRPr="00CD48C7">
        <w:rPr>
          <w:sz w:val="24"/>
          <w:szCs w:val="24"/>
        </w:rPr>
        <w:t xml:space="preserve"> on how to identify, prevent or self-manage TBI and </w:t>
      </w:r>
      <w:r w:rsidRPr="00890884">
        <w:rPr>
          <w:sz w:val="24"/>
          <w:szCs w:val="24"/>
        </w:rPr>
        <w:t xml:space="preserve">co-morbid risk factors that can </w:t>
      </w:r>
      <w:r>
        <w:rPr>
          <w:sz w:val="24"/>
          <w:szCs w:val="24"/>
        </w:rPr>
        <w:t>decrease impact of co-morbid and secondary</w:t>
      </w:r>
      <w:r w:rsidRPr="00890884">
        <w:rPr>
          <w:sz w:val="24"/>
          <w:szCs w:val="24"/>
        </w:rPr>
        <w:t xml:space="preserve"> </w:t>
      </w:r>
      <w:r>
        <w:rPr>
          <w:sz w:val="24"/>
          <w:szCs w:val="24"/>
        </w:rPr>
        <w:t>conditions</w:t>
      </w:r>
      <w:r w:rsidRPr="00890884">
        <w:rPr>
          <w:sz w:val="24"/>
          <w:szCs w:val="24"/>
        </w:rPr>
        <w:t>.</w:t>
      </w:r>
    </w:p>
    <w:p w14:paraId="1E22E15B" w14:textId="7950E539" w:rsidR="00D42CFF" w:rsidRDefault="00FC1C28" w:rsidP="00D1368C">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Pr>
          <w:b/>
          <w:sz w:val="24"/>
          <w:szCs w:val="24"/>
        </w:rPr>
        <w:t xml:space="preserve">Need for Personalized </w:t>
      </w:r>
      <w:r w:rsidR="00931F5C">
        <w:rPr>
          <w:b/>
          <w:sz w:val="24"/>
          <w:szCs w:val="24"/>
        </w:rPr>
        <w:t xml:space="preserve">mTBI and Mental Health </w:t>
      </w:r>
      <w:r>
        <w:rPr>
          <w:b/>
          <w:sz w:val="24"/>
          <w:szCs w:val="24"/>
        </w:rPr>
        <w:t>Treatment</w:t>
      </w:r>
      <w:r w:rsidRPr="00FC1C28">
        <w:rPr>
          <w:sz w:val="24"/>
          <w:szCs w:val="24"/>
        </w:rPr>
        <w:t>.</w:t>
      </w:r>
      <w:r>
        <w:rPr>
          <w:sz w:val="24"/>
          <w:szCs w:val="24"/>
        </w:rPr>
        <w:t xml:space="preserve"> </w:t>
      </w:r>
      <w:r w:rsidR="008D44D9">
        <w:rPr>
          <w:sz w:val="24"/>
          <w:szCs w:val="24"/>
        </w:rPr>
        <w:t xml:space="preserve">LIMBIC-CENC research </w:t>
      </w:r>
      <w:r w:rsidR="006B6CA2">
        <w:rPr>
          <w:sz w:val="24"/>
          <w:szCs w:val="24"/>
        </w:rPr>
        <w:t xml:space="preserve">is underway to further develop </w:t>
      </w:r>
      <w:r w:rsidR="008D44D9">
        <w:rPr>
          <w:sz w:val="24"/>
          <w:szCs w:val="24"/>
        </w:rPr>
        <w:t xml:space="preserve">mTBI mental health phenotypes </w:t>
      </w:r>
      <w:r w:rsidR="006B6CA2">
        <w:rPr>
          <w:sz w:val="24"/>
          <w:szCs w:val="24"/>
        </w:rPr>
        <w:t xml:space="preserve">that </w:t>
      </w:r>
      <w:r w:rsidR="008D44D9">
        <w:rPr>
          <w:sz w:val="24"/>
          <w:szCs w:val="24"/>
        </w:rPr>
        <w:t xml:space="preserve">identify </w:t>
      </w:r>
      <w:r w:rsidR="006B6CA2">
        <w:rPr>
          <w:sz w:val="24"/>
          <w:szCs w:val="24"/>
        </w:rPr>
        <w:t xml:space="preserve">subgroups of Service Members and Veterans with common symptoms, biomarkers and </w:t>
      </w:r>
      <w:r w:rsidR="008D44D9">
        <w:rPr>
          <w:sz w:val="24"/>
          <w:szCs w:val="24"/>
        </w:rPr>
        <w:t xml:space="preserve">root causation </w:t>
      </w:r>
      <w:r w:rsidR="006B6CA2">
        <w:rPr>
          <w:sz w:val="24"/>
          <w:szCs w:val="24"/>
        </w:rPr>
        <w:t xml:space="preserve">in order </w:t>
      </w:r>
      <w:r w:rsidR="008D44D9">
        <w:rPr>
          <w:sz w:val="24"/>
          <w:szCs w:val="24"/>
        </w:rPr>
        <w:t>to tailor personalized treatment algorithms</w:t>
      </w:r>
      <w:r w:rsidR="006B6CA2">
        <w:rPr>
          <w:sz w:val="24"/>
          <w:szCs w:val="24"/>
        </w:rPr>
        <w:t xml:space="preserve"> for each sub-phenotype</w:t>
      </w:r>
      <w:r w:rsidR="008D44D9">
        <w:rPr>
          <w:sz w:val="24"/>
          <w:szCs w:val="24"/>
        </w:rPr>
        <w:t>.</w:t>
      </w:r>
    </w:p>
    <w:p w14:paraId="3D818BD7" w14:textId="1E0F8B73" w:rsidR="00931F5C" w:rsidRDefault="00AA2049" w:rsidP="00931F5C">
      <w:pPr>
        <w:pStyle w:val="ListParagraph"/>
        <w:numPr>
          <w:ilvl w:val="0"/>
          <w:numId w:val="11"/>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Pr>
          <w:b/>
          <w:sz w:val="24"/>
          <w:szCs w:val="24"/>
        </w:rPr>
        <w:t xml:space="preserve">Policy Recommendations on the </w:t>
      </w:r>
      <w:r w:rsidR="00931F5C" w:rsidRPr="007C5683">
        <w:rPr>
          <w:b/>
          <w:sz w:val="24"/>
          <w:szCs w:val="24"/>
        </w:rPr>
        <w:t>Need for Secondary TBI Prevention Strategies</w:t>
      </w:r>
      <w:r w:rsidR="00931F5C">
        <w:rPr>
          <w:sz w:val="24"/>
          <w:szCs w:val="24"/>
        </w:rPr>
        <w:t>.</w:t>
      </w:r>
      <w:r w:rsidR="00931F5C" w:rsidRPr="007B5E8F">
        <w:rPr>
          <w:sz w:val="24"/>
          <w:szCs w:val="24"/>
        </w:rPr>
        <w:t xml:space="preserve"> </w:t>
      </w:r>
      <w:r w:rsidR="00931F5C">
        <w:rPr>
          <w:sz w:val="24"/>
          <w:szCs w:val="24"/>
        </w:rPr>
        <w:t>Our findings on the linear a</w:t>
      </w:r>
      <w:r w:rsidR="00931F5C" w:rsidRPr="00D42CFF">
        <w:rPr>
          <w:sz w:val="24"/>
          <w:szCs w:val="24"/>
        </w:rPr>
        <w:t xml:space="preserve">ssociations between </w:t>
      </w:r>
      <w:r w:rsidR="00931F5C">
        <w:rPr>
          <w:sz w:val="24"/>
          <w:szCs w:val="24"/>
        </w:rPr>
        <w:t xml:space="preserve">number of mTBIs and increased </w:t>
      </w:r>
      <w:r w:rsidR="00931F5C" w:rsidRPr="00D42CFF">
        <w:rPr>
          <w:sz w:val="24"/>
          <w:szCs w:val="24"/>
        </w:rPr>
        <w:t>symptom</w:t>
      </w:r>
      <w:r w:rsidR="00931F5C">
        <w:rPr>
          <w:sz w:val="24"/>
          <w:szCs w:val="24"/>
        </w:rPr>
        <w:t xml:space="preserve"> frequency, severity and chronicity make clear that </w:t>
      </w:r>
      <w:r w:rsidR="002E21E7">
        <w:rPr>
          <w:sz w:val="24"/>
          <w:szCs w:val="24"/>
        </w:rPr>
        <w:t xml:space="preserve">DOD-VA policy recommendations must prioritize </w:t>
      </w:r>
      <w:r w:rsidR="00931F5C">
        <w:rPr>
          <w:sz w:val="24"/>
          <w:szCs w:val="24"/>
        </w:rPr>
        <w:t xml:space="preserve">proactive, secondary TBI prevention strategies. </w:t>
      </w:r>
    </w:p>
    <w:p w14:paraId="235E5703" w14:textId="77777777" w:rsidR="00CF1180" w:rsidRPr="009955A3" w:rsidRDefault="00CF1180"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9955A3">
        <w:rPr>
          <w:b/>
          <w:color w:val="1F497D" w:themeColor="text2"/>
          <w:sz w:val="28"/>
          <w:szCs w:val="24"/>
        </w:rPr>
        <w:t>Primary Knowledge Translation Products</w:t>
      </w:r>
    </w:p>
    <w:p w14:paraId="7AA0C107" w14:textId="4C25CCA3" w:rsidR="00B07586" w:rsidRPr="00691485" w:rsidRDefault="00B07586" w:rsidP="00EC63CB">
      <w:pPr>
        <w:pStyle w:val="ListParagraph"/>
        <w:numPr>
          <w:ilvl w:val="0"/>
          <w:numId w:val="1"/>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Pr>
          <w:rFonts w:cstheme="minorHAnsi"/>
          <w:sz w:val="24"/>
          <w:szCs w:val="24"/>
        </w:rPr>
        <w:t xml:space="preserve">LIMBIC-CENC provides a repository of information on </w:t>
      </w:r>
      <w:hyperlink r:id="rId8" w:history="1">
        <w:r w:rsidR="001C1959" w:rsidRPr="004259CB">
          <w:rPr>
            <w:rStyle w:val="Hyperlink"/>
            <w:rFonts w:cstheme="minorHAnsi"/>
            <w:sz w:val="24"/>
            <w:szCs w:val="24"/>
          </w:rPr>
          <w:t>Mental Health and TBI for SMs, Vs and Families</w:t>
        </w:r>
      </w:hyperlink>
      <w:r w:rsidR="00497731">
        <w:rPr>
          <w:rFonts w:cstheme="minorHAnsi"/>
          <w:sz w:val="24"/>
          <w:szCs w:val="24"/>
        </w:rPr>
        <w:t xml:space="preserve">, </w:t>
      </w:r>
      <w:hyperlink r:id="rId9" w:history="1">
        <w:r w:rsidR="00497731">
          <w:rPr>
            <w:rStyle w:val="Hyperlink"/>
            <w:rFonts w:cstheme="minorHAnsi"/>
            <w:sz w:val="24"/>
            <w:szCs w:val="24"/>
          </w:rPr>
          <w:t>TBI and Wellness for Service Members, Veterans, and Families</w:t>
        </w:r>
      </w:hyperlink>
      <w:r w:rsidR="00497731">
        <w:rPr>
          <w:rFonts w:cstheme="minorHAnsi"/>
          <w:sz w:val="24"/>
          <w:szCs w:val="24"/>
        </w:rPr>
        <w:t xml:space="preserve">, </w:t>
      </w:r>
      <w:hyperlink r:id="rId10" w:history="1">
        <w:r w:rsidR="001C1959">
          <w:rPr>
            <w:rStyle w:val="Hyperlink"/>
            <w:rFonts w:cstheme="minorHAnsi"/>
            <w:sz w:val="24"/>
            <w:szCs w:val="24"/>
          </w:rPr>
          <w:t>Mental Health and TBI for Clinicians</w:t>
        </w:r>
      </w:hyperlink>
      <w:r w:rsidR="00497731">
        <w:rPr>
          <w:rFonts w:cstheme="minorHAnsi"/>
          <w:sz w:val="24"/>
          <w:szCs w:val="24"/>
        </w:rPr>
        <w:t xml:space="preserve">, and </w:t>
      </w:r>
      <w:hyperlink r:id="rId11" w:history="1">
        <w:r w:rsidR="00497731">
          <w:rPr>
            <w:rStyle w:val="Hyperlink"/>
            <w:rFonts w:cstheme="minorHAnsi"/>
            <w:sz w:val="24"/>
            <w:szCs w:val="24"/>
          </w:rPr>
          <w:t>TBI and Wellness for Clinicians</w:t>
        </w:r>
      </w:hyperlink>
      <w:r w:rsidR="00497731">
        <w:rPr>
          <w:rFonts w:cstheme="minorHAnsi"/>
          <w:sz w:val="24"/>
          <w:szCs w:val="24"/>
        </w:rPr>
        <w:t>.</w:t>
      </w:r>
    </w:p>
    <w:p w14:paraId="753CCE4D" w14:textId="0284794C" w:rsidR="00CF1180" w:rsidRDefault="00B07586" w:rsidP="00EC63CB">
      <w:pPr>
        <w:pStyle w:val="ListParagraph"/>
        <w:numPr>
          <w:ilvl w:val="0"/>
          <w:numId w:val="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5221C7">
        <w:rPr>
          <w:sz w:val="24"/>
          <w:szCs w:val="24"/>
        </w:rPr>
        <w:t xml:space="preserve">LIMBIC-CENC’s </w:t>
      </w:r>
      <w:r w:rsidRPr="005221C7">
        <w:rPr>
          <w:b/>
          <w:sz w:val="24"/>
          <w:szCs w:val="24"/>
        </w:rPr>
        <w:t>Brain Health and Wellness Video Series</w:t>
      </w:r>
      <w:r w:rsidRPr="005221C7">
        <w:rPr>
          <w:sz w:val="24"/>
          <w:szCs w:val="24"/>
        </w:rPr>
        <w:t xml:space="preserve"> </w:t>
      </w:r>
      <w:r w:rsidR="004D5B13">
        <w:rPr>
          <w:sz w:val="24"/>
          <w:szCs w:val="24"/>
        </w:rPr>
        <w:t>provides 4</w:t>
      </w:r>
      <w:r w:rsidR="00A44E9B">
        <w:rPr>
          <w:sz w:val="24"/>
          <w:szCs w:val="24"/>
        </w:rPr>
        <w:t>-</w:t>
      </w:r>
      <w:r w:rsidR="004D5B13">
        <w:rPr>
          <w:sz w:val="24"/>
          <w:szCs w:val="24"/>
        </w:rPr>
        <w:t>minute</w:t>
      </w:r>
      <w:r w:rsidR="00A44E9B">
        <w:rPr>
          <w:sz w:val="24"/>
          <w:szCs w:val="24"/>
        </w:rPr>
        <w:t>, easy to read and apply</w:t>
      </w:r>
      <w:r w:rsidR="004D5B13">
        <w:rPr>
          <w:sz w:val="24"/>
          <w:szCs w:val="24"/>
        </w:rPr>
        <w:t xml:space="preserve"> primers </w:t>
      </w:r>
      <w:r w:rsidRPr="005221C7">
        <w:rPr>
          <w:sz w:val="24"/>
          <w:szCs w:val="24"/>
        </w:rPr>
        <w:t xml:space="preserve">on how to identify, </w:t>
      </w:r>
      <w:r w:rsidR="001C1959" w:rsidRPr="005221C7">
        <w:rPr>
          <w:sz w:val="24"/>
          <w:szCs w:val="24"/>
        </w:rPr>
        <w:t xml:space="preserve">self-manage </w:t>
      </w:r>
      <w:r w:rsidR="001C1959">
        <w:rPr>
          <w:sz w:val="24"/>
          <w:szCs w:val="24"/>
        </w:rPr>
        <w:t xml:space="preserve">or </w:t>
      </w:r>
      <w:r w:rsidRPr="005221C7">
        <w:rPr>
          <w:sz w:val="24"/>
          <w:szCs w:val="24"/>
        </w:rPr>
        <w:t xml:space="preserve">prevent </w:t>
      </w:r>
      <w:hyperlink r:id="rId12" w:history="1">
        <w:r w:rsidR="001C1959" w:rsidRPr="004259CB">
          <w:rPr>
            <w:rStyle w:val="Hyperlink"/>
            <w:sz w:val="24"/>
            <w:szCs w:val="24"/>
          </w:rPr>
          <w:t>TBI and Depression</w:t>
        </w:r>
      </w:hyperlink>
      <w:r w:rsidRPr="005221C7">
        <w:rPr>
          <w:sz w:val="24"/>
          <w:szCs w:val="24"/>
        </w:rPr>
        <w:t xml:space="preserve">, </w:t>
      </w:r>
      <w:hyperlink r:id="rId13" w:history="1">
        <w:r w:rsidR="001C1959" w:rsidRPr="004259CB">
          <w:rPr>
            <w:rStyle w:val="Hyperlink"/>
            <w:sz w:val="24"/>
            <w:szCs w:val="24"/>
          </w:rPr>
          <w:t>TBI and PTSD</w:t>
        </w:r>
      </w:hyperlink>
      <w:r w:rsidRPr="005221C7">
        <w:rPr>
          <w:sz w:val="24"/>
          <w:szCs w:val="24"/>
        </w:rPr>
        <w:t xml:space="preserve">, </w:t>
      </w:r>
      <w:hyperlink r:id="rId14" w:history="1">
        <w:r w:rsidR="001C1959">
          <w:rPr>
            <w:rStyle w:val="Hyperlink"/>
            <w:sz w:val="24"/>
            <w:szCs w:val="24"/>
          </w:rPr>
          <w:t>TBI and Tobacco Use</w:t>
        </w:r>
      </w:hyperlink>
      <w:r w:rsidRPr="005221C7">
        <w:rPr>
          <w:sz w:val="24"/>
          <w:szCs w:val="24"/>
        </w:rPr>
        <w:t xml:space="preserve">, </w:t>
      </w:r>
      <w:hyperlink r:id="rId15" w:history="1">
        <w:r w:rsidR="001C1959">
          <w:rPr>
            <w:rStyle w:val="Hyperlink"/>
            <w:sz w:val="24"/>
            <w:szCs w:val="24"/>
          </w:rPr>
          <w:t>TBI and Alcohol Use</w:t>
        </w:r>
      </w:hyperlink>
      <w:r w:rsidRPr="005221C7">
        <w:rPr>
          <w:sz w:val="24"/>
          <w:szCs w:val="24"/>
        </w:rPr>
        <w:t xml:space="preserve">, and </w:t>
      </w:r>
      <w:hyperlink r:id="rId16" w:history="1">
        <w:r w:rsidR="001C1959">
          <w:rPr>
            <w:rStyle w:val="Hyperlink"/>
            <w:sz w:val="24"/>
            <w:szCs w:val="24"/>
          </w:rPr>
          <w:t>TBI and Sleep</w:t>
        </w:r>
      </w:hyperlink>
      <w:r w:rsidRPr="005221C7">
        <w:rPr>
          <w:sz w:val="24"/>
          <w:szCs w:val="24"/>
        </w:rPr>
        <w:t>. The series also provides links to self-management tools and/or access to healthcare services</w:t>
      </w:r>
      <w:r w:rsidR="004D5B13">
        <w:rPr>
          <w:sz w:val="24"/>
          <w:szCs w:val="24"/>
        </w:rPr>
        <w:t xml:space="preserve"> for mental health and chronic symptoms</w:t>
      </w:r>
      <w:r w:rsidRPr="005221C7">
        <w:rPr>
          <w:sz w:val="24"/>
          <w:szCs w:val="24"/>
        </w:rPr>
        <w:t>.</w:t>
      </w:r>
    </w:p>
    <w:p w14:paraId="7F4601BF" w14:textId="61EA0610" w:rsidR="00396976" w:rsidRPr="00396976" w:rsidRDefault="00396976" w:rsidP="00EC63CB">
      <w:pPr>
        <w:pStyle w:val="ListParagraph"/>
        <w:numPr>
          <w:ilvl w:val="0"/>
          <w:numId w:val="1"/>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Pr>
          <w:sz w:val="24"/>
          <w:szCs w:val="24"/>
        </w:rPr>
        <w:t xml:space="preserve">The </w:t>
      </w:r>
      <w:hyperlink r:id="rId17" w:history="1">
        <w:r w:rsidR="001C1959">
          <w:rPr>
            <w:rStyle w:val="Hyperlink"/>
            <w:sz w:val="24"/>
            <w:szCs w:val="24"/>
          </w:rPr>
          <w:t>Abstract Veterans TBI Health and Outcomes Podcasts</w:t>
        </w:r>
      </w:hyperlink>
      <w:r w:rsidRPr="0097492B">
        <w:rPr>
          <w:sz w:val="24"/>
          <w:szCs w:val="24"/>
        </w:rPr>
        <w:t xml:space="preserve"> </w:t>
      </w:r>
      <w:r>
        <w:rPr>
          <w:sz w:val="24"/>
          <w:szCs w:val="24"/>
        </w:rPr>
        <w:t>provide evidence-informed and real world patient, family and clinician perspectives on assessing and self-managing TBI, mental health conditions, and symptoms.</w:t>
      </w:r>
    </w:p>
    <w:p w14:paraId="3861E623" w14:textId="4A431AB8" w:rsidR="00CF1180" w:rsidRPr="0073021E" w:rsidRDefault="0073021E" w:rsidP="00063091">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Pr>
          <w:b/>
          <w:sz w:val="18"/>
          <w:szCs w:val="24"/>
        </w:rPr>
        <w:t>M</w:t>
      </w:r>
      <w:r w:rsidR="00CF1180" w:rsidRPr="0073021E">
        <w:rPr>
          <w:b/>
          <w:sz w:val="18"/>
          <w:szCs w:val="24"/>
        </w:rPr>
        <w:t>TBI, Mental Health and Persistent Symptom References</w:t>
      </w:r>
    </w:p>
    <w:p w14:paraId="5A8000CA" w14:textId="3DD820AB" w:rsidR="00141B76" w:rsidRDefault="00141B76"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D20A2F">
        <w:rPr>
          <w:sz w:val="18"/>
        </w:rPr>
        <w:t>O’Neil, ME, Klyce</w:t>
      </w:r>
      <w:r w:rsidR="006954E2">
        <w:rPr>
          <w:sz w:val="18"/>
        </w:rPr>
        <w:t xml:space="preserve"> </w:t>
      </w:r>
      <w:r w:rsidRPr="00D20A2F">
        <w:rPr>
          <w:sz w:val="18"/>
        </w:rPr>
        <w:t>DW, Pogoda TK, Cifu DX, Eggleston</w:t>
      </w:r>
      <w:r w:rsidR="006954E2">
        <w:rPr>
          <w:sz w:val="18"/>
        </w:rPr>
        <w:t xml:space="preserve"> </w:t>
      </w:r>
      <w:r w:rsidRPr="00D20A2F">
        <w:rPr>
          <w:sz w:val="18"/>
        </w:rPr>
        <w:t>BE, Cameron DC, Wilde EA, Walker WC, Carlson</w:t>
      </w:r>
      <w:r w:rsidR="006954E2">
        <w:rPr>
          <w:sz w:val="18"/>
        </w:rPr>
        <w:t xml:space="preserve"> </w:t>
      </w:r>
      <w:r w:rsidRPr="00D20A2F">
        <w:rPr>
          <w:sz w:val="18"/>
        </w:rPr>
        <w:t>KF</w:t>
      </w:r>
      <w:r w:rsidR="006954E2">
        <w:rPr>
          <w:sz w:val="18"/>
        </w:rPr>
        <w:t>:</w:t>
      </w:r>
      <w:r w:rsidRPr="00D20A2F">
        <w:rPr>
          <w:sz w:val="18"/>
        </w:rPr>
        <w:t xml:space="preserve"> Associations among PTSD and post-concussive symptoms in the Long-term Impact of Military-relevant Brain Injury Consortium – Chronic Effects of Neurotrauma Consortium (LIMBIC-CENC) Prospective, Longitudinal Study cohort. J Head Trauma Rehabil</w:t>
      </w:r>
      <w:r w:rsidR="006954E2">
        <w:rPr>
          <w:sz w:val="18"/>
        </w:rPr>
        <w:t xml:space="preserve"> 2021;36(6):E363-E372</w:t>
      </w:r>
      <w:r w:rsidRPr="00D20A2F">
        <w:rPr>
          <w:sz w:val="18"/>
        </w:rPr>
        <w:t xml:space="preserve"> 10.1097/HTR.0000000000000665</w:t>
      </w:r>
    </w:p>
    <w:p w14:paraId="7BAB2FDA" w14:textId="276A07AE" w:rsidR="00141B76" w:rsidRPr="0073021E" w:rsidRDefault="00141B76"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8D087B">
        <w:rPr>
          <w:sz w:val="18"/>
        </w:rPr>
        <w:t>O'Neil ME, Agyemang A, Walker WC, Pogoda TK, Klyce DW, Perrin PB, Hsu NH, Nguyen H, Presson AP, Cifu DX. Demographic, military, and health comorbidity variables by mild TBI and PTSD status in the LIMBIC-CENC cohort. Brain Inj. 2022 Apr 16;36(5):598-606. doi: 10.1080/02699052.2022.2033847. PMID: 35125059.</w:t>
      </w:r>
    </w:p>
    <w:p w14:paraId="6CB6EBD1" w14:textId="7D29A2DB" w:rsidR="00141B76" w:rsidRDefault="00141B76"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08385F">
        <w:rPr>
          <w:sz w:val="18"/>
        </w:rPr>
        <w:t>Sullan, MJ, Crocker LD, Thomas KR</w:t>
      </w:r>
      <w:r w:rsidR="006954E2">
        <w:rPr>
          <w:sz w:val="18"/>
        </w:rPr>
        <w:t>,</w:t>
      </w:r>
      <w:r w:rsidRPr="0008385F">
        <w:rPr>
          <w:sz w:val="18"/>
        </w:rPr>
        <w:t xml:space="preserve"> Orff, HJ, Davey</w:t>
      </w:r>
      <w:r w:rsidR="006954E2">
        <w:rPr>
          <w:sz w:val="18"/>
        </w:rPr>
        <w:t xml:space="preserve"> </w:t>
      </w:r>
      <w:r w:rsidRPr="0008385F">
        <w:rPr>
          <w:sz w:val="18"/>
        </w:rPr>
        <w:t>DK, Jurick SM, Twamley</w:t>
      </w:r>
      <w:r w:rsidR="006954E2">
        <w:rPr>
          <w:sz w:val="18"/>
        </w:rPr>
        <w:t xml:space="preserve"> </w:t>
      </w:r>
      <w:r w:rsidRPr="0008385F">
        <w:rPr>
          <w:sz w:val="18"/>
        </w:rPr>
        <w:t>EW, Norman</w:t>
      </w:r>
      <w:r w:rsidR="006954E2">
        <w:rPr>
          <w:sz w:val="18"/>
        </w:rPr>
        <w:t xml:space="preserve"> </w:t>
      </w:r>
      <w:r w:rsidRPr="0008385F">
        <w:rPr>
          <w:sz w:val="18"/>
        </w:rPr>
        <w:t>SB, Schiehser DM, Aupperle</w:t>
      </w:r>
      <w:r w:rsidR="006954E2">
        <w:rPr>
          <w:sz w:val="18"/>
        </w:rPr>
        <w:t xml:space="preserve"> </w:t>
      </w:r>
      <w:r w:rsidRPr="0008385F">
        <w:rPr>
          <w:sz w:val="18"/>
        </w:rPr>
        <w:t>R, Jak AJ</w:t>
      </w:r>
      <w:r w:rsidR="006954E2">
        <w:rPr>
          <w:sz w:val="18"/>
        </w:rPr>
        <w:t xml:space="preserve">: </w:t>
      </w:r>
      <w:r w:rsidRPr="0008385F">
        <w:rPr>
          <w:sz w:val="18"/>
        </w:rPr>
        <w:t>Baseline sleep quality moderates symptom improvement in veterans with comorbid PTSD and TBI receiving trauma-focused treatment. Behaviour research and therapy</w:t>
      </w:r>
      <w:r w:rsidR="006954E2">
        <w:rPr>
          <w:sz w:val="18"/>
        </w:rPr>
        <w:t xml:space="preserve"> </w:t>
      </w:r>
      <w:proofErr w:type="spellStart"/>
      <w:r w:rsidR="006954E2">
        <w:rPr>
          <w:sz w:val="18"/>
        </w:rPr>
        <w:t>Behav</w:t>
      </w:r>
      <w:proofErr w:type="spellEnd"/>
      <w:r w:rsidR="006954E2">
        <w:rPr>
          <w:sz w:val="18"/>
        </w:rPr>
        <w:t xml:space="preserve"> Res </w:t>
      </w:r>
      <w:proofErr w:type="spellStart"/>
      <w:r w:rsidR="006954E2">
        <w:rPr>
          <w:sz w:val="18"/>
        </w:rPr>
        <w:t>Ther</w:t>
      </w:r>
      <w:proofErr w:type="spellEnd"/>
      <w:r w:rsidR="006954E2">
        <w:rPr>
          <w:sz w:val="18"/>
        </w:rPr>
        <w:t xml:space="preserve"> 2021;143:</w:t>
      </w:r>
      <w:r w:rsidRPr="0008385F">
        <w:rPr>
          <w:sz w:val="18"/>
        </w:rPr>
        <w:t xml:space="preserve">103892. </w:t>
      </w:r>
      <w:hyperlink r:id="rId18" w:history="1">
        <w:r w:rsidRPr="009A20F6">
          <w:rPr>
            <w:rStyle w:val="Hyperlink"/>
            <w:sz w:val="18"/>
          </w:rPr>
          <w:t>https://doi.org/10.1016/j.brat.2021.103892</w:t>
        </w:r>
      </w:hyperlink>
    </w:p>
    <w:p w14:paraId="6F6AE2F2" w14:textId="4159B1E8" w:rsidR="009F0B6B" w:rsidRPr="0073021E" w:rsidRDefault="009F0B6B"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lastRenderedPageBreak/>
        <w:t>Walker WC, Hirsch S, Carne W, Nolen T, Cifu DX, Wilde EA, Levin HS, Brearly TW, Eapen BC, Williams R</w:t>
      </w:r>
      <w:r w:rsidR="00D95D37">
        <w:rPr>
          <w:sz w:val="18"/>
        </w:rPr>
        <w:t xml:space="preserve">: </w:t>
      </w:r>
      <w:r w:rsidRPr="0073021E">
        <w:rPr>
          <w:sz w:val="18"/>
        </w:rPr>
        <w:t>Chronic Effects of Neurotrauma Consortium (CENC) multicenter study interim analysis: Differences between participants with positive versus negative mild TBI histories. Brain Inj 2018;32(9):1079-1089. doi: 10.1080/02699052.2018.1479041. PMID: 29851515</w:t>
      </w:r>
    </w:p>
    <w:p w14:paraId="72914E3B" w14:textId="5A3DEDAA" w:rsidR="009F0B6B" w:rsidRDefault="009F0B6B"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t>Pogoda TK, Carlson KF, Eapen BC, O’Neil ME, Walker WC, Tate DF, Nolen TL, Nowak K. The Relationship Between prior Mild Traumatic Brain Injury and current Neurobehavioral Symptoms among former OEF/OIF/OND Combatants: A Chronic Effects of Neurotrauma Consortium Study. IN PRESS.</w:t>
      </w:r>
    </w:p>
    <w:p w14:paraId="5535D663" w14:textId="4AF89AD3" w:rsidR="00F928BF" w:rsidRDefault="00F928BF"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2B0952">
        <w:rPr>
          <w:sz w:val="18"/>
        </w:rPr>
        <w:t>Merritt, V. C., Jurick, S. M., Crocker, L. D., Sullan, M. J., Sakamoto, M. S., Davey, D. K., Hoffman, S. N., Keller, A. V., &amp; Jak, A. J. (2020). Associations between multiple remote mild TBIs and objective neuropsychological functioning and subjective symptoms in combat-exposed veterans. Archives of Clinical Neuropsychology, 35(5), 491-505. doi:10.1093/arclin/acaa006</w:t>
      </w:r>
    </w:p>
    <w:p w14:paraId="3E5875CE" w14:textId="04E69541" w:rsidR="00686A4D" w:rsidRDefault="00686A4D"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686A4D">
        <w:rPr>
          <w:sz w:val="18"/>
        </w:rPr>
        <w:t>Stromberg KM, Martindale SL, Walker WC, Ou Z, Pogoda TK, Miles SR, Dismuke-Greer CE, Carlson KF, Rowland JA, O'Neil ME, Pugh MJ. Mild traumatic brain injury, PTSD symptom severity, and behavioral dyscontrol: a LIMBIC-CENC study. Front Neurol 2024</w:t>
      </w:r>
      <w:r w:rsidR="006954E2">
        <w:rPr>
          <w:sz w:val="18"/>
        </w:rPr>
        <w:t>;</w:t>
      </w:r>
      <w:r w:rsidRPr="00686A4D">
        <w:rPr>
          <w:sz w:val="18"/>
        </w:rPr>
        <w:t>11;14:1286961. doi: 10.3389/fneur.2023.1286961. PMID: 38274880; PMCID: PMC10808394.</w:t>
      </w:r>
    </w:p>
    <w:p w14:paraId="66ACD11A" w14:textId="49F3B941" w:rsidR="003C091D" w:rsidRDefault="003C091D"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5C46FC">
        <w:rPr>
          <w:sz w:val="18"/>
        </w:rPr>
        <w:t>Walker WC, O'Neil ME, Ou Z, Pogoda TK, Belanger HG, Scheibel RS, Presson AP, Miles SR, Wilde EA, Tate DF, Troyanskaya M, Pugh MJ, Jak A, Cifu DX. Can mild traumatic brain injury alter cognition chronically? A LIMBIC-CENC multicenter study. Neuropsychology. 2023;37(1):1-19. doi: 10.1037/neu0000855. PMID: 36174184.</w:t>
      </w:r>
    </w:p>
    <w:p w14:paraId="78451D14" w14:textId="77EEE790" w:rsidR="003C091D" w:rsidRPr="00440053" w:rsidRDefault="003C091D"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D1EB9">
        <w:rPr>
          <w:sz w:val="18"/>
        </w:rPr>
        <w:t>Garcia A, Reljic T, Pogoda TK, Kenney K, Agyemang A, Troyanskaya M, Belanger HG, Wilde EA, Walker WC, Nakase-Richardson R. Obstructive Sleep Apnea Risk Is Associated with Cognitive Impairment after Controlling for Mild Traumatic Brain Injury History: A Chronic Effects of Neurotrauma Consortium Study. J Neurotrauma</w:t>
      </w:r>
      <w:r w:rsidR="006954E2">
        <w:rPr>
          <w:sz w:val="18"/>
        </w:rPr>
        <w:t xml:space="preserve"> </w:t>
      </w:r>
      <w:r w:rsidRPr="007D1EB9">
        <w:rPr>
          <w:sz w:val="18"/>
        </w:rPr>
        <w:t>2020;37(23):2517-2527. doi: 10.1089/neu.2019.6916. PMID: 32709212; PMCID: PMC7698980.</w:t>
      </w:r>
    </w:p>
    <w:p w14:paraId="499FC548" w14:textId="65A5D9B2" w:rsidR="00117655" w:rsidRDefault="00117655" w:rsidP="00117655">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t xml:space="preserve">Kornblith E, Schweizer S, Abrams G, Gardner R, Barnes D, Yaffe K, Novakovic-Agopian T. Telehealth delivery of group-format cognitive rehabilitation to older veterans with TBI: a mixed-methods pilot study. Appl </w:t>
      </w:r>
      <w:proofErr w:type="spellStart"/>
      <w:r w:rsidRPr="0073021E">
        <w:rPr>
          <w:sz w:val="18"/>
        </w:rPr>
        <w:t>Neuropsychol</w:t>
      </w:r>
      <w:proofErr w:type="spellEnd"/>
      <w:r w:rsidRPr="0073021E">
        <w:rPr>
          <w:sz w:val="18"/>
        </w:rPr>
        <w:t xml:space="preserve"> Adult</w:t>
      </w:r>
      <w:r w:rsidR="00C45C2B">
        <w:rPr>
          <w:sz w:val="18"/>
        </w:rPr>
        <w:t xml:space="preserve"> 2023 Arl</w:t>
      </w:r>
      <w:r w:rsidRPr="0073021E">
        <w:rPr>
          <w:sz w:val="18"/>
        </w:rPr>
        <w:t>:1-13. doi: 10.1080/23279095.2023.2199160.. PMID: 37044120.</w:t>
      </w:r>
    </w:p>
    <w:p w14:paraId="1160469B" w14:textId="1DDCD8C4" w:rsidR="00117655" w:rsidRDefault="00117655" w:rsidP="00117655">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6A1161">
        <w:rPr>
          <w:sz w:val="18"/>
        </w:rPr>
        <w:t>Wright B, Zhang C, Karmarkar A, Bjork JM, Pugh MJ, Hodges CB, Martindale SL, Wilde EA, Kenney K, McDonald SD, Scheibel RS, Newsome MR, Cook LJ</w:t>
      </w:r>
      <w:r w:rsidR="00C45C2B">
        <w:rPr>
          <w:sz w:val="18"/>
        </w:rPr>
        <w:t>, Wright WC</w:t>
      </w:r>
      <w:r w:rsidRPr="006A1161">
        <w:rPr>
          <w:sz w:val="18"/>
        </w:rPr>
        <w:t xml:space="preserve">. Relation of aerobic activity to cognition and well-being in chronic mild traumatic brain injury; A LIMBIC-CENC study. </w:t>
      </w:r>
      <w:proofErr w:type="spellStart"/>
      <w:r w:rsidR="00C45C2B">
        <w:rPr>
          <w:sz w:val="18"/>
        </w:rPr>
        <w:t>Milit</w:t>
      </w:r>
      <w:proofErr w:type="spellEnd"/>
      <w:r w:rsidR="00C45C2B">
        <w:rPr>
          <w:sz w:val="18"/>
        </w:rPr>
        <w:t xml:space="preserve"> Med 2023;Suppl 6;124-133</w:t>
      </w:r>
      <w:r w:rsidRPr="006A1161">
        <w:rPr>
          <w:sz w:val="18"/>
        </w:rPr>
        <w:t>.</w:t>
      </w:r>
    </w:p>
    <w:p w14:paraId="38421DCB" w14:textId="19E226B4" w:rsidR="003B61D0" w:rsidRPr="0073021E" w:rsidRDefault="003B61D0"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t>Leng Y, Byers AL, Barnes DE, Peltz CB, Li Y, and Yaffe K. Traumatic brain injury and incidence risk of sleep disorders in nearly 200,000 US veterans. Neurology</w:t>
      </w:r>
      <w:r w:rsidR="00C45C2B">
        <w:rPr>
          <w:sz w:val="18"/>
        </w:rPr>
        <w:t xml:space="preserve"> </w:t>
      </w:r>
      <w:r w:rsidRPr="0073021E">
        <w:rPr>
          <w:sz w:val="18"/>
        </w:rPr>
        <w:t>2021</w:t>
      </w:r>
      <w:r w:rsidR="00C45C2B">
        <w:rPr>
          <w:sz w:val="18"/>
        </w:rPr>
        <w:t>;</w:t>
      </w:r>
      <w:r w:rsidRPr="0073021E">
        <w:rPr>
          <w:sz w:val="18"/>
        </w:rPr>
        <w:t>96(13)</w:t>
      </w:r>
      <w:r w:rsidR="00C45C2B">
        <w:rPr>
          <w:sz w:val="18"/>
        </w:rPr>
        <w:t>:1792-1799.</w:t>
      </w:r>
    </w:p>
    <w:p w14:paraId="7D7229B4" w14:textId="7BD090CA" w:rsidR="003C091D" w:rsidRDefault="003C091D"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2074C0">
        <w:rPr>
          <w:sz w:val="18"/>
          <w:szCs w:val="20"/>
        </w:rPr>
        <w:t>Werner JK, Shahim P, Pucci JU, Lai C, Raiciulescu S, Gill JM, Nakase-Richardson R, Diaz-Arrastia R, Kenney K. Poor sleep correlates with biomarkers of neurodegeneration in mild traumatic brain injury patients: a CENC study. Sleep. 2021;44(6):zsaa272. doi: 10.1093/sleep/zsaa272. PMID: 33280032; PMCID: PMC8343591.</w:t>
      </w:r>
    </w:p>
    <w:p w14:paraId="3233CC31" w14:textId="2B08A2F9" w:rsidR="00C3291E" w:rsidRPr="002074C0" w:rsidRDefault="00C3291E" w:rsidP="00EC63CB">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20"/>
        </w:rPr>
      </w:pPr>
      <w:r w:rsidRPr="00C3291E">
        <w:rPr>
          <w:sz w:val="18"/>
          <w:szCs w:val="20"/>
        </w:rPr>
        <w:t>Kennedy E, Ozmen M, Bouldin ED, Panahi S, Mobasher H, Troyanskaya M, Martindale SL, Merritt VC, O'Neil M, Sponheim SR, Remigio-Baker RA, Presson A, Swan AA, Werner JK, Greene TH, Wilde EA, Tate DF, Walker WC, Pugh MJ. Phenotyping Depression After Mild Traumatic Brain Injury: Evaluating the Impact of Multiple Injury, Gender, and Injury Context. J Neurotrauma. 2024 Jan 10. doi: 10.1089/neu.2023.0381. Epub ahead of print. PMID: 38117134.</w:t>
      </w:r>
    </w:p>
    <w:p w14:paraId="30F326B3" w14:textId="6ED9DBC8" w:rsidR="00AA2049" w:rsidRPr="00CD6231" w:rsidRDefault="00D31876" w:rsidP="005D3FAC">
      <w:pPr>
        <w:pStyle w:val="ListParagraph"/>
        <w:numPr>
          <w:ilvl w:val="0"/>
          <w:numId w:val="3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rPr>
      </w:pPr>
      <w:r w:rsidRPr="0073021E">
        <w:rPr>
          <w:sz w:val="18"/>
        </w:rPr>
        <w:t>Silverberg ND, Iverson GL; ACRM Brain Injury Special Interest Group Mild TBI Task Force members:; Cogan A, Dams-O-Connor K, Delmonico R, Graf MJP, Iaccarino MA, Kajankova M, Kamins J, McCulloch KL, McKinney G, Nagele D, Panenka WJ, Rabinowitz AR, Reed N, Wethe JV, Whitehair V; ACRM Mild TBI Diagnostic Criteria Expert Consensus Group:; Anderson V, Arciniegas DB, Bayley MT, Bazarian JJ, Bell KR, Broglio SP, Cifu D, Davis GA, Dvorak J, Echemendia RJ, Gioia GA, Giza CC, Hinds SR 2nd, Katz DI, Kurowski BG, Leddy JJ, Sage NL, Lumba-Brown A, Maas AI, Manley GT, McCrea M, Menon DK, Ponsford J, Putukian M, Suskauer SJ, van der Naalt J, Walker WC, Yeates KO, Zafonte R, Zasler ND, Zemek R. The American Congress of Rehabilitation Medicine Diagnostic Criteria for Mild Traumatic Brain Injury. Arch Phys Med Rehabil</w:t>
      </w:r>
      <w:r w:rsidR="00C45C2B">
        <w:rPr>
          <w:sz w:val="18"/>
        </w:rPr>
        <w:t xml:space="preserve"> </w:t>
      </w:r>
      <w:r w:rsidRPr="0073021E">
        <w:rPr>
          <w:sz w:val="18"/>
        </w:rPr>
        <w:t>2023 Aug;104(8):1343-1355. doi: 10.1016/j.apmr.2023.03.036. PMID: 37211140.</w:t>
      </w:r>
    </w:p>
    <w:p w14:paraId="24001766" w14:textId="30EC3EA9" w:rsidR="00AA2049" w:rsidRDefault="00AA2049" w:rsidP="005D3FAC">
      <w:pPr>
        <w:spacing w:after="0" w:line="240" w:lineRule="auto"/>
        <w:rPr>
          <w:sz w:val="24"/>
          <w:szCs w:val="24"/>
        </w:rPr>
      </w:pPr>
    </w:p>
    <w:p w14:paraId="01110DBF" w14:textId="77777777" w:rsidR="00D52071" w:rsidRPr="00A720FD" w:rsidRDefault="00D52071" w:rsidP="00D52071">
      <w:pPr>
        <w:pBdr>
          <w:top w:val="double" w:sz="6" w:space="1" w:color="003F72"/>
          <w:left w:val="double" w:sz="6" w:space="4" w:color="003F72"/>
          <w:bottom w:val="double" w:sz="6" w:space="1" w:color="003F72"/>
          <w:right w:val="double" w:sz="6" w:space="4" w:color="003F72"/>
        </w:pBdr>
        <w:shd w:val="clear" w:color="auto" w:fill="003F72"/>
        <w:spacing w:after="0" w:line="240" w:lineRule="auto"/>
        <w:jc w:val="both"/>
        <w:rPr>
          <w:sz w:val="18"/>
          <w:szCs w:val="20"/>
        </w:rPr>
      </w:pPr>
      <w:r w:rsidRPr="00CD6231">
        <w:rPr>
          <w:i/>
          <w:sz w:val="18"/>
          <w:szCs w:val="20"/>
        </w:rPr>
        <w:t>LIMBIC-CENC research and its KT products were supported financially by the Department of Defense, Chronic Effects of Neurotrauma Consortium (CENC) Award W81XWH-13-2-0095 and Department of Veterans Affairs CENC Award I01 CX001135.  Any opinions, findings, conclusions or recommendations expressed in this publication are those of the author(s) and do not necessarily</w:t>
      </w:r>
      <w:r w:rsidRPr="00A720FD">
        <w:rPr>
          <w:i/>
          <w:sz w:val="18"/>
          <w:szCs w:val="20"/>
        </w:rPr>
        <w:t xml:space="preserve"> reflect the views of the U.S. Government or the U.S. Department of Veterans Affairs, and no official endorsement should be inferred.</w:t>
      </w:r>
    </w:p>
    <w:p w14:paraId="722CA0E0" w14:textId="0F17A6CF" w:rsidR="004F36F7" w:rsidRDefault="004F36F7">
      <w:pPr>
        <w:rPr>
          <w:sz w:val="24"/>
          <w:szCs w:val="24"/>
        </w:rPr>
      </w:pPr>
      <w:bookmarkStart w:id="0" w:name="_GoBack"/>
      <w:bookmarkEnd w:id="0"/>
    </w:p>
    <w:sectPr w:rsidR="004F36F7" w:rsidSect="001D5B1C">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38E2" w14:textId="77777777" w:rsidR="00E22A10" w:rsidRDefault="00E22A10" w:rsidP="004C0DF1">
      <w:pPr>
        <w:spacing w:after="0" w:line="240" w:lineRule="auto"/>
      </w:pPr>
      <w:r>
        <w:separator/>
      </w:r>
    </w:p>
  </w:endnote>
  <w:endnote w:type="continuationSeparator" w:id="0">
    <w:p w14:paraId="1CF3CF07" w14:textId="77777777" w:rsidR="00E22A10" w:rsidRDefault="00E22A10" w:rsidP="004C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695261110"/>
      <w:docPartObj>
        <w:docPartGallery w:val="Page Numbers (Bottom of Page)"/>
        <w:docPartUnique/>
      </w:docPartObj>
    </w:sdtPr>
    <w:sdtEndPr>
      <w:rPr>
        <w:noProof/>
      </w:rPr>
    </w:sdtEndPr>
    <w:sdtContent>
      <w:p w14:paraId="635B8F48" w14:textId="4B31592D" w:rsidR="008F3B99" w:rsidRPr="004C0DF1" w:rsidRDefault="008F3B99">
        <w:pPr>
          <w:pStyle w:val="Footer"/>
          <w:jc w:val="right"/>
          <w:rPr>
            <w:i/>
          </w:rPr>
        </w:pPr>
        <w:r w:rsidRPr="004C0DF1">
          <w:rPr>
            <w:i/>
          </w:rPr>
          <w:t xml:space="preserve">  LIMBIC-CENC Clinical Care Monograph</w:t>
        </w:r>
        <w:r>
          <w:rPr>
            <w:i/>
          </w:rPr>
          <w:t xml:space="preserve">      </w:t>
        </w:r>
        <w:r w:rsidRPr="004C0DF1">
          <w:rPr>
            <w:i/>
          </w:rPr>
          <w:t xml:space="preserve"> </w:t>
        </w:r>
        <w:r w:rsidRPr="004C0DF1">
          <w:rPr>
            <w:i/>
          </w:rPr>
          <w:fldChar w:fldCharType="begin"/>
        </w:r>
        <w:r w:rsidRPr="004C0DF1">
          <w:rPr>
            <w:i/>
          </w:rPr>
          <w:instrText xml:space="preserve"> PAGE   \* MERGEFORMAT </w:instrText>
        </w:r>
        <w:r w:rsidRPr="004C0DF1">
          <w:rPr>
            <w:i/>
          </w:rPr>
          <w:fldChar w:fldCharType="separate"/>
        </w:r>
        <w:r w:rsidRPr="004C0DF1">
          <w:rPr>
            <w:i/>
            <w:noProof/>
          </w:rPr>
          <w:t>2</w:t>
        </w:r>
        <w:r w:rsidRPr="004C0DF1">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A40A2" w14:textId="77777777" w:rsidR="00E22A10" w:rsidRDefault="00E22A10" w:rsidP="004C0DF1">
      <w:pPr>
        <w:spacing w:after="0" w:line="240" w:lineRule="auto"/>
      </w:pPr>
      <w:r>
        <w:separator/>
      </w:r>
    </w:p>
  </w:footnote>
  <w:footnote w:type="continuationSeparator" w:id="0">
    <w:p w14:paraId="431A16CF" w14:textId="77777777" w:rsidR="00E22A10" w:rsidRDefault="00E22A10" w:rsidP="004C0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F44"/>
    <w:multiLevelType w:val="hybridMultilevel"/>
    <w:tmpl w:val="43F6A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A0D52FF"/>
    <w:multiLevelType w:val="hybridMultilevel"/>
    <w:tmpl w:val="8D6E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799"/>
    <w:multiLevelType w:val="hybridMultilevel"/>
    <w:tmpl w:val="052CA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18B"/>
    <w:multiLevelType w:val="hybridMultilevel"/>
    <w:tmpl w:val="04860B12"/>
    <w:lvl w:ilvl="0" w:tplc="4824E8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4A3788"/>
    <w:multiLevelType w:val="hybridMultilevel"/>
    <w:tmpl w:val="60703494"/>
    <w:lvl w:ilvl="0" w:tplc="837CD4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C7129"/>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8653DD"/>
    <w:multiLevelType w:val="hybridMultilevel"/>
    <w:tmpl w:val="85B26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340DD"/>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933FAD"/>
    <w:multiLevelType w:val="hybridMultilevel"/>
    <w:tmpl w:val="20BE67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20D7E07"/>
    <w:multiLevelType w:val="hybridMultilevel"/>
    <w:tmpl w:val="DE644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26C3E"/>
    <w:multiLevelType w:val="hybridMultilevel"/>
    <w:tmpl w:val="9E187738"/>
    <w:lvl w:ilvl="0" w:tplc="8AE60B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7E6CE2"/>
    <w:multiLevelType w:val="hybridMultilevel"/>
    <w:tmpl w:val="C7EA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701F6"/>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0F55B1E"/>
    <w:multiLevelType w:val="hybridMultilevel"/>
    <w:tmpl w:val="A1F24992"/>
    <w:lvl w:ilvl="0" w:tplc="230255C8">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4B7E"/>
    <w:multiLevelType w:val="hybridMultilevel"/>
    <w:tmpl w:val="8FD20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EC3"/>
    <w:multiLevelType w:val="hybridMultilevel"/>
    <w:tmpl w:val="D12060D8"/>
    <w:lvl w:ilvl="0" w:tplc="4AD073E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B542A"/>
    <w:multiLevelType w:val="hybridMultilevel"/>
    <w:tmpl w:val="46AC9E94"/>
    <w:lvl w:ilvl="0" w:tplc="4014B460">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86AD1"/>
    <w:multiLevelType w:val="hybridMultilevel"/>
    <w:tmpl w:val="5A46A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0822AD"/>
    <w:multiLevelType w:val="hybridMultilevel"/>
    <w:tmpl w:val="FD0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469BC"/>
    <w:multiLevelType w:val="hybridMultilevel"/>
    <w:tmpl w:val="674A11C6"/>
    <w:lvl w:ilvl="0" w:tplc="548CD404">
      <w:start w:val="1"/>
      <w:numFmt w:val="bullet"/>
      <w:lvlText w:val="•"/>
      <w:lvlJc w:val="left"/>
      <w:pPr>
        <w:tabs>
          <w:tab w:val="num" w:pos="360"/>
        </w:tabs>
        <w:ind w:left="360" w:hanging="360"/>
      </w:pPr>
      <w:rPr>
        <w:rFonts w:ascii="Arial" w:hAnsi="Arial" w:hint="default"/>
      </w:rPr>
    </w:lvl>
    <w:lvl w:ilvl="1" w:tplc="1CA2C6AE">
      <w:numFmt w:val="bullet"/>
      <w:lvlText w:val="•"/>
      <w:lvlJc w:val="left"/>
      <w:pPr>
        <w:tabs>
          <w:tab w:val="num" w:pos="1080"/>
        </w:tabs>
        <w:ind w:left="1080" w:hanging="360"/>
      </w:pPr>
      <w:rPr>
        <w:rFonts w:ascii="Arial" w:hAnsi="Arial" w:hint="default"/>
      </w:rPr>
    </w:lvl>
    <w:lvl w:ilvl="2" w:tplc="79342D1A" w:tentative="1">
      <w:start w:val="1"/>
      <w:numFmt w:val="bullet"/>
      <w:lvlText w:val="•"/>
      <w:lvlJc w:val="left"/>
      <w:pPr>
        <w:tabs>
          <w:tab w:val="num" w:pos="1800"/>
        </w:tabs>
        <w:ind w:left="1800" w:hanging="360"/>
      </w:pPr>
      <w:rPr>
        <w:rFonts w:ascii="Arial" w:hAnsi="Arial" w:hint="default"/>
      </w:rPr>
    </w:lvl>
    <w:lvl w:ilvl="3" w:tplc="BDB20264" w:tentative="1">
      <w:start w:val="1"/>
      <w:numFmt w:val="bullet"/>
      <w:lvlText w:val="•"/>
      <w:lvlJc w:val="left"/>
      <w:pPr>
        <w:tabs>
          <w:tab w:val="num" w:pos="2520"/>
        </w:tabs>
        <w:ind w:left="2520" w:hanging="360"/>
      </w:pPr>
      <w:rPr>
        <w:rFonts w:ascii="Arial" w:hAnsi="Arial" w:hint="default"/>
      </w:rPr>
    </w:lvl>
    <w:lvl w:ilvl="4" w:tplc="2BBC0EE4" w:tentative="1">
      <w:start w:val="1"/>
      <w:numFmt w:val="bullet"/>
      <w:lvlText w:val="•"/>
      <w:lvlJc w:val="left"/>
      <w:pPr>
        <w:tabs>
          <w:tab w:val="num" w:pos="3240"/>
        </w:tabs>
        <w:ind w:left="3240" w:hanging="360"/>
      </w:pPr>
      <w:rPr>
        <w:rFonts w:ascii="Arial" w:hAnsi="Arial" w:hint="default"/>
      </w:rPr>
    </w:lvl>
    <w:lvl w:ilvl="5" w:tplc="AC3029CA" w:tentative="1">
      <w:start w:val="1"/>
      <w:numFmt w:val="bullet"/>
      <w:lvlText w:val="•"/>
      <w:lvlJc w:val="left"/>
      <w:pPr>
        <w:tabs>
          <w:tab w:val="num" w:pos="3960"/>
        </w:tabs>
        <w:ind w:left="3960" w:hanging="360"/>
      </w:pPr>
      <w:rPr>
        <w:rFonts w:ascii="Arial" w:hAnsi="Arial" w:hint="default"/>
      </w:rPr>
    </w:lvl>
    <w:lvl w:ilvl="6" w:tplc="B5A06CC2" w:tentative="1">
      <w:start w:val="1"/>
      <w:numFmt w:val="bullet"/>
      <w:lvlText w:val="•"/>
      <w:lvlJc w:val="left"/>
      <w:pPr>
        <w:tabs>
          <w:tab w:val="num" w:pos="4680"/>
        </w:tabs>
        <w:ind w:left="4680" w:hanging="360"/>
      </w:pPr>
      <w:rPr>
        <w:rFonts w:ascii="Arial" w:hAnsi="Arial" w:hint="default"/>
      </w:rPr>
    </w:lvl>
    <w:lvl w:ilvl="7" w:tplc="C2DE301A" w:tentative="1">
      <w:start w:val="1"/>
      <w:numFmt w:val="bullet"/>
      <w:lvlText w:val="•"/>
      <w:lvlJc w:val="left"/>
      <w:pPr>
        <w:tabs>
          <w:tab w:val="num" w:pos="5400"/>
        </w:tabs>
        <w:ind w:left="5400" w:hanging="360"/>
      </w:pPr>
      <w:rPr>
        <w:rFonts w:ascii="Arial" w:hAnsi="Arial" w:hint="default"/>
      </w:rPr>
    </w:lvl>
    <w:lvl w:ilvl="8" w:tplc="B520129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802326B"/>
    <w:multiLevelType w:val="hybridMultilevel"/>
    <w:tmpl w:val="F05C7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809E0"/>
    <w:multiLevelType w:val="hybridMultilevel"/>
    <w:tmpl w:val="4A26FF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C4C4891"/>
    <w:multiLevelType w:val="hybridMultilevel"/>
    <w:tmpl w:val="2820AD16"/>
    <w:lvl w:ilvl="0" w:tplc="38E03C5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166222"/>
    <w:multiLevelType w:val="hybridMultilevel"/>
    <w:tmpl w:val="01962A98"/>
    <w:lvl w:ilvl="0" w:tplc="D452F5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73E1E4D"/>
    <w:multiLevelType w:val="hybridMultilevel"/>
    <w:tmpl w:val="39304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6447FC"/>
    <w:multiLevelType w:val="hybridMultilevel"/>
    <w:tmpl w:val="BFF25F58"/>
    <w:lvl w:ilvl="0" w:tplc="1D26AA3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FB0438"/>
    <w:multiLevelType w:val="hybridMultilevel"/>
    <w:tmpl w:val="30CA1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47287"/>
    <w:multiLevelType w:val="hybridMultilevel"/>
    <w:tmpl w:val="CCB86670"/>
    <w:lvl w:ilvl="0" w:tplc="1D26AA38">
      <w:start w:val="1"/>
      <w:numFmt w:val="decimal"/>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BB79A1"/>
    <w:multiLevelType w:val="hybridMultilevel"/>
    <w:tmpl w:val="C6D46AC0"/>
    <w:lvl w:ilvl="0" w:tplc="5CE06E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651D2F"/>
    <w:multiLevelType w:val="hybridMultilevel"/>
    <w:tmpl w:val="BA3042C8"/>
    <w:lvl w:ilvl="0" w:tplc="38E0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70481"/>
    <w:multiLevelType w:val="multilevel"/>
    <w:tmpl w:val="EBD03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F05D1"/>
    <w:multiLevelType w:val="hybridMultilevel"/>
    <w:tmpl w:val="8460DC3A"/>
    <w:lvl w:ilvl="0" w:tplc="AAF60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BB6AB4"/>
    <w:multiLevelType w:val="hybridMultilevel"/>
    <w:tmpl w:val="78B65086"/>
    <w:lvl w:ilvl="0" w:tplc="A04AAC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33F78AA"/>
    <w:multiLevelType w:val="hybridMultilevel"/>
    <w:tmpl w:val="CC1CE3F4"/>
    <w:lvl w:ilvl="0" w:tplc="5A76F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76CB7"/>
    <w:multiLevelType w:val="hybridMultilevel"/>
    <w:tmpl w:val="FB963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5B7549"/>
    <w:multiLevelType w:val="hybridMultilevel"/>
    <w:tmpl w:val="92044A26"/>
    <w:lvl w:ilvl="0" w:tplc="38E0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047F4"/>
    <w:multiLevelType w:val="hybridMultilevel"/>
    <w:tmpl w:val="5D3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12238"/>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FD15A59"/>
    <w:multiLevelType w:val="hybridMultilevel"/>
    <w:tmpl w:val="B31A91E0"/>
    <w:lvl w:ilvl="0" w:tplc="54A255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9"/>
  </w:num>
  <w:num w:numId="3">
    <w:abstractNumId w:val="14"/>
  </w:num>
  <w:num w:numId="4">
    <w:abstractNumId w:val="32"/>
  </w:num>
  <w:num w:numId="5">
    <w:abstractNumId w:val="8"/>
  </w:num>
  <w:num w:numId="6">
    <w:abstractNumId w:val="17"/>
  </w:num>
  <w:num w:numId="7">
    <w:abstractNumId w:val="16"/>
  </w:num>
  <w:num w:numId="8">
    <w:abstractNumId w:val="33"/>
  </w:num>
  <w:num w:numId="9">
    <w:abstractNumId w:val="20"/>
  </w:num>
  <w:num w:numId="10">
    <w:abstractNumId w:val="29"/>
  </w:num>
  <w:num w:numId="11">
    <w:abstractNumId w:val="34"/>
  </w:num>
  <w:num w:numId="12">
    <w:abstractNumId w:val="35"/>
  </w:num>
  <w:num w:numId="13">
    <w:abstractNumId w:val="24"/>
  </w:num>
  <w:num w:numId="14">
    <w:abstractNumId w:val="22"/>
  </w:num>
  <w:num w:numId="15">
    <w:abstractNumId w:val="1"/>
  </w:num>
  <w:num w:numId="16">
    <w:abstractNumId w:val="28"/>
  </w:num>
  <w:num w:numId="17">
    <w:abstractNumId w:val="2"/>
  </w:num>
  <w:num w:numId="18">
    <w:abstractNumId w:val="30"/>
  </w:num>
  <w:num w:numId="19">
    <w:abstractNumId w:val="26"/>
  </w:num>
  <w:num w:numId="20">
    <w:abstractNumId w:val="15"/>
  </w:num>
  <w:num w:numId="21">
    <w:abstractNumId w:val="36"/>
  </w:num>
  <w:num w:numId="22">
    <w:abstractNumId w:val="11"/>
  </w:num>
  <w:num w:numId="23">
    <w:abstractNumId w:val="4"/>
  </w:num>
  <w:num w:numId="24">
    <w:abstractNumId w:val="21"/>
  </w:num>
  <w:num w:numId="25">
    <w:abstractNumId w:val="19"/>
  </w:num>
  <w:num w:numId="26">
    <w:abstractNumId w:val="0"/>
  </w:num>
  <w:num w:numId="27">
    <w:abstractNumId w:val="31"/>
  </w:num>
  <w:num w:numId="28">
    <w:abstractNumId w:val="3"/>
  </w:num>
  <w:num w:numId="29">
    <w:abstractNumId w:val="38"/>
  </w:num>
  <w:num w:numId="30">
    <w:abstractNumId w:val="23"/>
  </w:num>
  <w:num w:numId="31">
    <w:abstractNumId w:val="12"/>
  </w:num>
  <w:num w:numId="32">
    <w:abstractNumId w:val="18"/>
  </w:num>
  <w:num w:numId="33">
    <w:abstractNumId w:val="27"/>
  </w:num>
  <w:num w:numId="34">
    <w:abstractNumId w:val="10"/>
  </w:num>
  <w:num w:numId="35">
    <w:abstractNumId w:val="25"/>
  </w:num>
  <w:num w:numId="36">
    <w:abstractNumId w:val="37"/>
  </w:num>
  <w:num w:numId="37">
    <w:abstractNumId w:val="5"/>
  </w:num>
  <w:num w:numId="38">
    <w:abstractNumId w:val="7"/>
  </w:num>
  <w:num w:numId="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89"/>
    <w:rsid w:val="00000EDC"/>
    <w:rsid w:val="00001E93"/>
    <w:rsid w:val="00002A0E"/>
    <w:rsid w:val="00003A36"/>
    <w:rsid w:val="00006379"/>
    <w:rsid w:val="000066E5"/>
    <w:rsid w:val="000068B5"/>
    <w:rsid w:val="00010B91"/>
    <w:rsid w:val="00012DF3"/>
    <w:rsid w:val="00015CC9"/>
    <w:rsid w:val="00020E0E"/>
    <w:rsid w:val="0002436C"/>
    <w:rsid w:val="0002449A"/>
    <w:rsid w:val="000265DF"/>
    <w:rsid w:val="000304A8"/>
    <w:rsid w:val="000323B9"/>
    <w:rsid w:val="00034A79"/>
    <w:rsid w:val="00041A52"/>
    <w:rsid w:val="00045F0E"/>
    <w:rsid w:val="000470C1"/>
    <w:rsid w:val="0004716D"/>
    <w:rsid w:val="000519E3"/>
    <w:rsid w:val="000547AE"/>
    <w:rsid w:val="0005589F"/>
    <w:rsid w:val="00063091"/>
    <w:rsid w:val="00064F78"/>
    <w:rsid w:val="00072A1A"/>
    <w:rsid w:val="00082C16"/>
    <w:rsid w:val="0008385F"/>
    <w:rsid w:val="00085407"/>
    <w:rsid w:val="00087270"/>
    <w:rsid w:val="00095602"/>
    <w:rsid w:val="000A0C7B"/>
    <w:rsid w:val="000A19A7"/>
    <w:rsid w:val="000A3761"/>
    <w:rsid w:val="000A4334"/>
    <w:rsid w:val="000A52B3"/>
    <w:rsid w:val="000A5AE2"/>
    <w:rsid w:val="000A73CA"/>
    <w:rsid w:val="000B4997"/>
    <w:rsid w:val="000B6C25"/>
    <w:rsid w:val="000C55B8"/>
    <w:rsid w:val="000D3586"/>
    <w:rsid w:val="000D7612"/>
    <w:rsid w:val="000E0E76"/>
    <w:rsid w:val="000E2D53"/>
    <w:rsid w:val="000E369B"/>
    <w:rsid w:val="000E6C53"/>
    <w:rsid w:val="000F476E"/>
    <w:rsid w:val="000F7DB4"/>
    <w:rsid w:val="0010090C"/>
    <w:rsid w:val="00102645"/>
    <w:rsid w:val="00102931"/>
    <w:rsid w:val="00103261"/>
    <w:rsid w:val="00106606"/>
    <w:rsid w:val="00107EAB"/>
    <w:rsid w:val="001100A4"/>
    <w:rsid w:val="00115ADD"/>
    <w:rsid w:val="00116955"/>
    <w:rsid w:val="00117655"/>
    <w:rsid w:val="001306C0"/>
    <w:rsid w:val="001320CF"/>
    <w:rsid w:val="00133391"/>
    <w:rsid w:val="00134BFA"/>
    <w:rsid w:val="00136FFD"/>
    <w:rsid w:val="0013782F"/>
    <w:rsid w:val="00140F7D"/>
    <w:rsid w:val="00141B76"/>
    <w:rsid w:val="00146148"/>
    <w:rsid w:val="001540D4"/>
    <w:rsid w:val="001608A6"/>
    <w:rsid w:val="00161164"/>
    <w:rsid w:val="0016215B"/>
    <w:rsid w:val="00165398"/>
    <w:rsid w:val="00165FB6"/>
    <w:rsid w:val="0017013C"/>
    <w:rsid w:val="00171782"/>
    <w:rsid w:val="00174384"/>
    <w:rsid w:val="00174634"/>
    <w:rsid w:val="001820A4"/>
    <w:rsid w:val="00185446"/>
    <w:rsid w:val="001862A6"/>
    <w:rsid w:val="001869E7"/>
    <w:rsid w:val="0019217E"/>
    <w:rsid w:val="00194743"/>
    <w:rsid w:val="00196581"/>
    <w:rsid w:val="0019683D"/>
    <w:rsid w:val="001A12DC"/>
    <w:rsid w:val="001A4895"/>
    <w:rsid w:val="001A4A33"/>
    <w:rsid w:val="001A624E"/>
    <w:rsid w:val="001A71D4"/>
    <w:rsid w:val="001B19EA"/>
    <w:rsid w:val="001B5940"/>
    <w:rsid w:val="001B72B0"/>
    <w:rsid w:val="001C02FD"/>
    <w:rsid w:val="001C1959"/>
    <w:rsid w:val="001C6F49"/>
    <w:rsid w:val="001C7A40"/>
    <w:rsid w:val="001D1C3A"/>
    <w:rsid w:val="001D58AE"/>
    <w:rsid w:val="001D5B1C"/>
    <w:rsid w:val="001E2A1D"/>
    <w:rsid w:val="001E606A"/>
    <w:rsid w:val="001E6AEC"/>
    <w:rsid w:val="001F004B"/>
    <w:rsid w:val="001F300C"/>
    <w:rsid w:val="001F4778"/>
    <w:rsid w:val="001F47A4"/>
    <w:rsid w:val="001F49A4"/>
    <w:rsid w:val="00200D35"/>
    <w:rsid w:val="002043CA"/>
    <w:rsid w:val="00206F5B"/>
    <w:rsid w:val="0020735D"/>
    <w:rsid w:val="002074C0"/>
    <w:rsid w:val="0021275C"/>
    <w:rsid w:val="00213F71"/>
    <w:rsid w:val="00216618"/>
    <w:rsid w:val="00220622"/>
    <w:rsid w:val="0022210B"/>
    <w:rsid w:val="00222DD4"/>
    <w:rsid w:val="002259F8"/>
    <w:rsid w:val="0022797A"/>
    <w:rsid w:val="00230179"/>
    <w:rsid w:val="00233835"/>
    <w:rsid w:val="00235F0E"/>
    <w:rsid w:val="00237FD1"/>
    <w:rsid w:val="00241332"/>
    <w:rsid w:val="00241348"/>
    <w:rsid w:val="00242454"/>
    <w:rsid w:val="00250DEE"/>
    <w:rsid w:val="002717B1"/>
    <w:rsid w:val="00272029"/>
    <w:rsid w:val="00276442"/>
    <w:rsid w:val="00276EF7"/>
    <w:rsid w:val="00280D64"/>
    <w:rsid w:val="00281BEB"/>
    <w:rsid w:val="00283F8B"/>
    <w:rsid w:val="002908A7"/>
    <w:rsid w:val="002926F4"/>
    <w:rsid w:val="0029283E"/>
    <w:rsid w:val="0029288D"/>
    <w:rsid w:val="00292AC6"/>
    <w:rsid w:val="002962C4"/>
    <w:rsid w:val="002A1F41"/>
    <w:rsid w:val="002A3273"/>
    <w:rsid w:val="002A6556"/>
    <w:rsid w:val="002A7439"/>
    <w:rsid w:val="002A7A41"/>
    <w:rsid w:val="002B0952"/>
    <w:rsid w:val="002B0FDA"/>
    <w:rsid w:val="002B2DE1"/>
    <w:rsid w:val="002B3E26"/>
    <w:rsid w:val="002B643A"/>
    <w:rsid w:val="002B6A7D"/>
    <w:rsid w:val="002B78F9"/>
    <w:rsid w:val="002C5923"/>
    <w:rsid w:val="002C5BB4"/>
    <w:rsid w:val="002C76EE"/>
    <w:rsid w:val="002D2F07"/>
    <w:rsid w:val="002D6A71"/>
    <w:rsid w:val="002E21E7"/>
    <w:rsid w:val="002E3B79"/>
    <w:rsid w:val="002E4A40"/>
    <w:rsid w:val="002E6B07"/>
    <w:rsid w:val="002F70EF"/>
    <w:rsid w:val="00303D88"/>
    <w:rsid w:val="0030491A"/>
    <w:rsid w:val="00306C38"/>
    <w:rsid w:val="00306D15"/>
    <w:rsid w:val="00310E68"/>
    <w:rsid w:val="003127D3"/>
    <w:rsid w:val="00313460"/>
    <w:rsid w:val="0031536C"/>
    <w:rsid w:val="00317744"/>
    <w:rsid w:val="00317ECB"/>
    <w:rsid w:val="00323050"/>
    <w:rsid w:val="003312B8"/>
    <w:rsid w:val="0033478E"/>
    <w:rsid w:val="00337CE5"/>
    <w:rsid w:val="003409EA"/>
    <w:rsid w:val="00342252"/>
    <w:rsid w:val="003443F0"/>
    <w:rsid w:val="00344EAE"/>
    <w:rsid w:val="00352982"/>
    <w:rsid w:val="00353F6C"/>
    <w:rsid w:val="003540CF"/>
    <w:rsid w:val="00354844"/>
    <w:rsid w:val="00356328"/>
    <w:rsid w:val="003621B9"/>
    <w:rsid w:val="00364FEC"/>
    <w:rsid w:val="0037107E"/>
    <w:rsid w:val="00374413"/>
    <w:rsid w:val="0037625F"/>
    <w:rsid w:val="003839F4"/>
    <w:rsid w:val="003875A9"/>
    <w:rsid w:val="00387E0A"/>
    <w:rsid w:val="00391BE4"/>
    <w:rsid w:val="00394619"/>
    <w:rsid w:val="00396976"/>
    <w:rsid w:val="00397640"/>
    <w:rsid w:val="003A5440"/>
    <w:rsid w:val="003A7859"/>
    <w:rsid w:val="003A7AD8"/>
    <w:rsid w:val="003B0891"/>
    <w:rsid w:val="003B524C"/>
    <w:rsid w:val="003B61D0"/>
    <w:rsid w:val="003B63B1"/>
    <w:rsid w:val="003C091D"/>
    <w:rsid w:val="003C1314"/>
    <w:rsid w:val="003C3116"/>
    <w:rsid w:val="003C6422"/>
    <w:rsid w:val="003D1901"/>
    <w:rsid w:val="003E2B08"/>
    <w:rsid w:val="003F0CBB"/>
    <w:rsid w:val="003F3A5D"/>
    <w:rsid w:val="003F5FB6"/>
    <w:rsid w:val="00400847"/>
    <w:rsid w:val="00403CC7"/>
    <w:rsid w:val="00404557"/>
    <w:rsid w:val="004066C6"/>
    <w:rsid w:val="0040696C"/>
    <w:rsid w:val="00410C1E"/>
    <w:rsid w:val="00415000"/>
    <w:rsid w:val="0041524F"/>
    <w:rsid w:val="00420979"/>
    <w:rsid w:val="00421559"/>
    <w:rsid w:val="00423CDB"/>
    <w:rsid w:val="00433BDE"/>
    <w:rsid w:val="00435368"/>
    <w:rsid w:val="0043786F"/>
    <w:rsid w:val="00440053"/>
    <w:rsid w:val="00442E5E"/>
    <w:rsid w:val="00444D4E"/>
    <w:rsid w:val="004459BD"/>
    <w:rsid w:val="00451F61"/>
    <w:rsid w:val="00456294"/>
    <w:rsid w:val="0046122E"/>
    <w:rsid w:val="00462ADF"/>
    <w:rsid w:val="00463C99"/>
    <w:rsid w:val="00467B82"/>
    <w:rsid w:val="00471DBC"/>
    <w:rsid w:val="00474E4C"/>
    <w:rsid w:val="00482573"/>
    <w:rsid w:val="004905D0"/>
    <w:rsid w:val="00497731"/>
    <w:rsid w:val="004A25FF"/>
    <w:rsid w:val="004B2490"/>
    <w:rsid w:val="004B7C98"/>
    <w:rsid w:val="004C0DF1"/>
    <w:rsid w:val="004C0EB3"/>
    <w:rsid w:val="004C4C5A"/>
    <w:rsid w:val="004D4798"/>
    <w:rsid w:val="004D51FA"/>
    <w:rsid w:val="004D5B13"/>
    <w:rsid w:val="004D77E0"/>
    <w:rsid w:val="004D7D6D"/>
    <w:rsid w:val="004E1722"/>
    <w:rsid w:val="004E249F"/>
    <w:rsid w:val="004F251D"/>
    <w:rsid w:val="004F31B1"/>
    <w:rsid w:val="004F36F7"/>
    <w:rsid w:val="004F412F"/>
    <w:rsid w:val="0050033A"/>
    <w:rsid w:val="005019B3"/>
    <w:rsid w:val="00502464"/>
    <w:rsid w:val="00504E37"/>
    <w:rsid w:val="00505E4E"/>
    <w:rsid w:val="00507DEA"/>
    <w:rsid w:val="00510027"/>
    <w:rsid w:val="00513C3F"/>
    <w:rsid w:val="005145A1"/>
    <w:rsid w:val="0052018F"/>
    <w:rsid w:val="005221C7"/>
    <w:rsid w:val="00523DF9"/>
    <w:rsid w:val="0052625A"/>
    <w:rsid w:val="00530BB8"/>
    <w:rsid w:val="00531483"/>
    <w:rsid w:val="00534CF9"/>
    <w:rsid w:val="00535536"/>
    <w:rsid w:val="005410E5"/>
    <w:rsid w:val="005417D8"/>
    <w:rsid w:val="00541A92"/>
    <w:rsid w:val="00541F34"/>
    <w:rsid w:val="0054227A"/>
    <w:rsid w:val="005427F4"/>
    <w:rsid w:val="00543DC2"/>
    <w:rsid w:val="0054452B"/>
    <w:rsid w:val="00544FFB"/>
    <w:rsid w:val="0055182C"/>
    <w:rsid w:val="005525D2"/>
    <w:rsid w:val="005543D0"/>
    <w:rsid w:val="00560E58"/>
    <w:rsid w:val="00563977"/>
    <w:rsid w:val="0056454A"/>
    <w:rsid w:val="00566F34"/>
    <w:rsid w:val="00567C71"/>
    <w:rsid w:val="00567E17"/>
    <w:rsid w:val="0057024D"/>
    <w:rsid w:val="00575D63"/>
    <w:rsid w:val="005771C3"/>
    <w:rsid w:val="00580FED"/>
    <w:rsid w:val="00583948"/>
    <w:rsid w:val="00584E22"/>
    <w:rsid w:val="005903F8"/>
    <w:rsid w:val="00594BEB"/>
    <w:rsid w:val="005977A5"/>
    <w:rsid w:val="005A1298"/>
    <w:rsid w:val="005A44F8"/>
    <w:rsid w:val="005A462D"/>
    <w:rsid w:val="005A5A78"/>
    <w:rsid w:val="005A6BAC"/>
    <w:rsid w:val="005B0CFE"/>
    <w:rsid w:val="005B0D64"/>
    <w:rsid w:val="005B23F4"/>
    <w:rsid w:val="005B365D"/>
    <w:rsid w:val="005B52AA"/>
    <w:rsid w:val="005B55D4"/>
    <w:rsid w:val="005C1BF0"/>
    <w:rsid w:val="005C46FC"/>
    <w:rsid w:val="005C61E0"/>
    <w:rsid w:val="005C7E00"/>
    <w:rsid w:val="005D2013"/>
    <w:rsid w:val="005D30A4"/>
    <w:rsid w:val="005D3FAC"/>
    <w:rsid w:val="005D4E22"/>
    <w:rsid w:val="005D56AD"/>
    <w:rsid w:val="005D6685"/>
    <w:rsid w:val="005D69A2"/>
    <w:rsid w:val="005E0361"/>
    <w:rsid w:val="005E0A71"/>
    <w:rsid w:val="005E186B"/>
    <w:rsid w:val="005E1FD9"/>
    <w:rsid w:val="005E2CF2"/>
    <w:rsid w:val="005E4F3E"/>
    <w:rsid w:val="005E5FC5"/>
    <w:rsid w:val="005E6504"/>
    <w:rsid w:val="005E7092"/>
    <w:rsid w:val="005E7CC5"/>
    <w:rsid w:val="005F5631"/>
    <w:rsid w:val="005F5F5D"/>
    <w:rsid w:val="005F76A3"/>
    <w:rsid w:val="00603A63"/>
    <w:rsid w:val="006044DC"/>
    <w:rsid w:val="00606D76"/>
    <w:rsid w:val="006140D5"/>
    <w:rsid w:val="00615159"/>
    <w:rsid w:val="00616C77"/>
    <w:rsid w:val="00617CBA"/>
    <w:rsid w:val="00624BE8"/>
    <w:rsid w:val="00626D42"/>
    <w:rsid w:val="006306E0"/>
    <w:rsid w:val="00633BBB"/>
    <w:rsid w:val="00634C04"/>
    <w:rsid w:val="00637976"/>
    <w:rsid w:val="006404EA"/>
    <w:rsid w:val="00642A96"/>
    <w:rsid w:val="00646787"/>
    <w:rsid w:val="00646D01"/>
    <w:rsid w:val="00650BC0"/>
    <w:rsid w:val="00651ABF"/>
    <w:rsid w:val="00651ED4"/>
    <w:rsid w:val="00652E6B"/>
    <w:rsid w:val="006660EB"/>
    <w:rsid w:val="00667DB4"/>
    <w:rsid w:val="00670F9E"/>
    <w:rsid w:val="0067249B"/>
    <w:rsid w:val="00673FD1"/>
    <w:rsid w:val="00685088"/>
    <w:rsid w:val="00686A4D"/>
    <w:rsid w:val="0069221D"/>
    <w:rsid w:val="0069364E"/>
    <w:rsid w:val="00693669"/>
    <w:rsid w:val="00694409"/>
    <w:rsid w:val="006954E2"/>
    <w:rsid w:val="00696669"/>
    <w:rsid w:val="006A1161"/>
    <w:rsid w:val="006A4669"/>
    <w:rsid w:val="006A56E4"/>
    <w:rsid w:val="006A7A16"/>
    <w:rsid w:val="006B21CE"/>
    <w:rsid w:val="006B24DB"/>
    <w:rsid w:val="006B6358"/>
    <w:rsid w:val="006B6CA2"/>
    <w:rsid w:val="006C2344"/>
    <w:rsid w:val="006C5834"/>
    <w:rsid w:val="006C6043"/>
    <w:rsid w:val="006E5B92"/>
    <w:rsid w:val="006F0F71"/>
    <w:rsid w:val="0070105A"/>
    <w:rsid w:val="0071748E"/>
    <w:rsid w:val="007246D8"/>
    <w:rsid w:val="007257CA"/>
    <w:rsid w:val="0073021E"/>
    <w:rsid w:val="00732F64"/>
    <w:rsid w:val="007348EC"/>
    <w:rsid w:val="00735532"/>
    <w:rsid w:val="007362E0"/>
    <w:rsid w:val="00743744"/>
    <w:rsid w:val="007442B8"/>
    <w:rsid w:val="00747371"/>
    <w:rsid w:val="00753D08"/>
    <w:rsid w:val="00755349"/>
    <w:rsid w:val="007620C0"/>
    <w:rsid w:val="00763AD5"/>
    <w:rsid w:val="00763C0B"/>
    <w:rsid w:val="0076430B"/>
    <w:rsid w:val="00767081"/>
    <w:rsid w:val="007676CD"/>
    <w:rsid w:val="00770472"/>
    <w:rsid w:val="00771A30"/>
    <w:rsid w:val="00774347"/>
    <w:rsid w:val="00775205"/>
    <w:rsid w:val="0078260E"/>
    <w:rsid w:val="007847C0"/>
    <w:rsid w:val="0079062D"/>
    <w:rsid w:val="00790AE0"/>
    <w:rsid w:val="0079155A"/>
    <w:rsid w:val="00792F26"/>
    <w:rsid w:val="007937BC"/>
    <w:rsid w:val="0079502A"/>
    <w:rsid w:val="00796731"/>
    <w:rsid w:val="00797B10"/>
    <w:rsid w:val="007A4CAE"/>
    <w:rsid w:val="007A4FB8"/>
    <w:rsid w:val="007B5E8F"/>
    <w:rsid w:val="007B6305"/>
    <w:rsid w:val="007B7318"/>
    <w:rsid w:val="007C0C46"/>
    <w:rsid w:val="007C1D1D"/>
    <w:rsid w:val="007C5683"/>
    <w:rsid w:val="007C6A8C"/>
    <w:rsid w:val="007D103F"/>
    <w:rsid w:val="007D1EB9"/>
    <w:rsid w:val="007D2E0A"/>
    <w:rsid w:val="007D42F1"/>
    <w:rsid w:val="007D4C80"/>
    <w:rsid w:val="007D4F01"/>
    <w:rsid w:val="007D7506"/>
    <w:rsid w:val="007E0FE4"/>
    <w:rsid w:val="007E43BF"/>
    <w:rsid w:val="007E4678"/>
    <w:rsid w:val="007F15A9"/>
    <w:rsid w:val="007F23BD"/>
    <w:rsid w:val="007F2918"/>
    <w:rsid w:val="007F2A9D"/>
    <w:rsid w:val="007F3F41"/>
    <w:rsid w:val="007F5520"/>
    <w:rsid w:val="007F7876"/>
    <w:rsid w:val="008025DA"/>
    <w:rsid w:val="008042C8"/>
    <w:rsid w:val="00807E74"/>
    <w:rsid w:val="00810FCC"/>
    <w:rsid w:val="00811132"/>
    <w:rsid w:val="0081208D"/>
    <w:rsid w:val="008136B8"/>
    <w:rsid w:val="0081438E"/>
    <w:rsid w:val="00816216"/>
    <w:rsid w:val="00821EE3"/>
    <w:rsid w:val="0082265D"/>
    <w:rsid w:val="00823BFD"/>
    <w:rsid w:val="00824A03"/>
    <w:rsid w:val="00825225"/>
    <w:rsid w:val="008262BC"/>
    <w:rsid w:val="008279F1"/>
    <w:rsid w:val="00833450"/>
    <w:rsid w:val="00835A24"/>
    <w:rsid w:val="00843AF4"/>
    <w:rsid w:val="00844305"/>
    <w:rsid w:val="00844674"/>
    <w:rsid w:val="00845636"/>
    <w:rsid w:val="0084658B"/>
    <w:rsid w:val="00850257"/>
    <w:rsid w:val="0085105E"/>
    <w:rsid w:val="008528D3"/>
    <w:rsid w:val="0085398C"/>
    <w:rsid w:val="00855DEF"/>
    <w:rsid w:val="00857218"/>
    <w:rsid w:val="00857BB7"/>
    <w:rsid w:val="00857EA1"/>
    <w:rsid w:val="00860023"/>
    <w:rsid w:val="0086623A"/>
    <w:rsid w:val="00872391"/>
    <w:rsid w:val="00873E89"/>
    <w:rsid w:val="008748A6"/>
    <w:rsid w:val="008753AD"/>
    <w:rsid w:val="00875726"/>
    <w:rsid w:val="00887506"/>
    <w:rsid w:val="008904FB"/>
    <w:rsid w:val="00890884"/>
    <w:rsid w:val="00891A27"/>
    <w:rsid w:val="00891FCF"/>
    <w:rsid w:val="00892D6E"/>
    <w:rsid w:val="0089527A"/>
    <w:rsid w:val="00896D1A"/>
    <w:rsid w:val="008B140A"/>
    <w:rsid w:val="008B1943"/>
    <w:rsid w:val="008B19E6"/>
    <w:rsid w:val="008B1D59"/>
    <w:rsid w:val="008B6319"/>
    <w:rsid w:val="008C1F53"/>
    <w:rsid w:val="008C3826"/>
    <w:rsid w:val="008C48E6"/>
    <w:rsid w:val="008C68B0"/>
    <w:rsid w:val="008D0372"/>
    <w:rsid w:val="008D087B"/>
    <w:rsid w:val="008D0DCA"/>
    <w:rsid w:val="008D265A"/>
    <w:rsid w:val="008D44D9"/>
    <w:rsid w:val="008D4A10"/>
    <w:rsid w:val="008E20B3"/>
    <w:rsid w:val="008E71BB"/>
    <w:rsid w:val="008E793F"/>
    <w:rsid w:val="008F15DD"/>
    <w:rsid w:val="008F2CB3"/>
    <w:rsid w:val="008F3B99"/>
    <w:rsid w:val="008F7DE0"/>
    <w:rsid w:val="00905D0D"/>
    <w:rsid w:val="00907672"/>
    <w:rsid w:val="00916725"/>
    <w:rsid w:val="009169D9"/>
    <w:rsid w:val="00916F73"/>
    <w:rsid w:val="009202EC"/>
    <w:rsid w:val="0092224D"/>
    <w:rsid w:val="00923D89"/>
    <w:rsid w:val="009246B9"/>
    <w:rsid w:val="009247F9"/>
    <w:rsid w:val="00927472"/>
    <w:rsid w:val="00930C3A"/>
    <w:rsid w:val="00931F5C"/>
    <w:rsid w:val="009329A8"/>
    <w:rsid w:val="00934FF1"/>
    <w:rsid w:val="00941488"/>
    <w:rsid w:val="009453D5"/>
    <w:rsid w:val="00947849"/>
    <w:rsid w:val="00955878"/>
    <w:rsid w:val="009566DF"/>
    <w:rsid w:val="00956EE7"/>
    <w:rsid w:val="00960952"/>
    <w:rsid w:val="009624C7"/>
    <w:rsid w:val="00962762"/>
    <w:rsid w:val="00962F7C"/>
    <w:rsid w:val="0096324D"/>
    <w:rsid w:val="0096399C"/>
    <w:rsid w:val="00963C1F"/>
    <w:rsid w:val="009664BB"/>
    <w:rsid w:val="00972259"/>
    <w:rsid w:val="009727F3"/>
    <w:rsid w:val="00972D6D"/>
    <w:rsid w:val="0097492B"/>
    <w:rsid w:val="00974CAB"/>
    <w:rsid w:val="00983E7F"/>
    <w:rsid w:val="00984062"/>
    <w:rsid w:val="0098773D"/>
    <w:rsid w:val="009955A3"/>
    <w:rsid w:val="00995EE8"/>
    <w:rsid w:val="00995F9C"/>
    <w:rsid w:val="009978FE"/>
    <w:rsid w:val="009A0218"/>
    <w:rsid w:val="009A5ECB"/>
    <w:rsid w:val="009A7862"/>
    <w:rsid w:val="009B70FB"/>
    <w:rsid w:val="009C0855"/>
    <w:rsid w:val="009C412D"/>
    <w:rsid w:val="009C5837"/>
    <w:rsid w:val="009D66CB"/>
    <w:rsid w:val="009E5373"/>
    <w:rsid w:val="009E5B45"/>
    <w:rsid w:val="009E624D"/>
    <w:rsid w:val="009F0B6B"/>
    <w:rsid w:val="009F1225"/>
    <w:rsid w:val="009F131B"/>
    <w:rsid w:val="009F79BC"/>
    <w:rsid w:val="00A0135A"/>
    <w:rsid w:val="00A027CD"/>
    <w:rsid w:val="00A12125"/>
    <w:rsid w:val="00A20EBD"/>
    <w:rsid w:val="00A2131F"/>
    <w:rsid w:val="00A2184B"/>
    <w:rsid w:val="00A248D9"/>
    <w:rsid w:val="00A25403"/>
    <w:rsid w:val="00A2599C"/>
    <w:rsid w:val="00A30748"/>
    <w:rsid w:val="00A34821"/>
    <w:rsid w:val="00A4365B"/>
    <w:rsid w:val="00A43EDF"/>
    <w:rsid w:val="00A44E9B"/>
    <w:rsid w:val="00A459C3"/>
    <w:rsid w:val="00A478FA"/>
    <w:rsid w:val="00A53D33"/>
    <w:rsid w:val="00A54B95"/>
    <w:rsid w:val="00A5779C"/>
    <w:rsid w:val="00A607EF"/>
    <w:rsid w:val="00A607F7"/>
    <w:rsid w:val="00A60D0C"/>
    <w:rsid w:val="00A6760A"/>
    <w:rsid w:val="00A70221"/>
    <w:rsid w:val="00A720FD"/>
    <w:rsid w:val="00A74799"/>
    <w:rsid w:val="00A7536E"/>
    <w:rsid w:val="00A76B30"/>
    <w:rsid w:val="00A866D1"/>
    <w:rsid w:val="00A91675"/>
    <w:rsid w:val="00A92A7E"/>
    <w:rsid w:val="00A9364F"/>
    <w:rsid w:val="00A95BC7"/>
    <w:rsid w:val="00A972E0"/>
    <w:rsid w:val="00A97D10"/>
    <w:rsid w:val="00AA2049"/>
    <w:rsid w:val="00AA32C5"/>
    <w:rsid w:val="00AA611C"/>
    <w:rsid w:val="00AA7C6A"/>
    <w:rsid w:val="00AB0590"/>
    <w:rsid w:val="00AB0BB4"/>
    <w:rsid w:val="00AB33B8"/>
    <w:rsid w:val="00AB5686"/>
    <w:rsid w:val="00AC2B27"/>
    <w:rsid w:val="00AC2C44"/>
    <w:rsid w:val="00AC600B"/>
    <w:rsid w:val="00AC757E"/>
    <w:rsid w:val="00AD03FE"/>
    <w:rsid w:val="00AD0DDD"/>
    <w:rsid w:val="00AD1AAB"/>
    <w:rsid w:val="00AD3022"/>
    <w:rsid w:val="00AD774E"/>
    <w:rsid w:val="00AE0A17"/>
    <w:rsid w:val="00AE1044"/>
    <w:rsid w:val="00AE38DF"/>
    <w:rsid w:val="00AE48B0"/>
    <w:rsid w:val="00AF38EA"/>
    <w:rsid w:val="00AF3A81"/>
    <w:rsid w:val="00AF4D7A"/>
    <w:rsid w:val="00AF62C9"/>
    <w:rsid w:val="00AF7343"/>
    <w:rsid w:val="00B07586"/>
    <w:rsid w:val="00B10C87"/>
    <w:rsid w:val="00B12F82"/>
    <w:rsid w:val="00B14D98"/>
    <w:rsid w:val="00B17870"/>
    <w:rsid w:val="00B236D3"/>
    <w:rsid w:val="00B23ECD"/>
    <w:rsid w:val="00B279F5"/>
    <w:rsid w:val="00B30B68"/>
    <w:rsid w:val="00B30CF7"/>
    <w:rsid w:val="00B31D33"/>
    <w:rsid w:val="00B36B3F"/>
    <w:rsid w:val="00B36C3B"/>
    <w:rsid w:val="00B37D11"/>
    <w:rsid w:val="00B37DBB"/>
    <w:rsid w:val="00B40929"/>
    <w:rsid w:val="00B42BC7"/>
    <w:rsid w:val="00B43581"/>
    <w:rsid w:val="00B52B20"/>
    <w:rsid w:val="00B56055"/>
    <w:rsid w:val="00B56F12"/>
    <w:rsid w:val="00B64A66"/>
    <w:rsid w:val="00B70678"/>
    <w:rsid w:val="00B727CC"/>
    <w:rsid w:val="00B727FF"/>
    <w:rsid w:val="00B80D08"/>
    <w:rsid w:val="00B84311"/>
    <w:rsid w:val="00B90B77"/>
    <w:rsid w:val="00B92B6C"/>
    <w:rsid w:val="00B93A30"/>
    <w:rsid w:val="00BA04B8"/>
    <w:rsid w:val="00BA0B0D"/>
    <w:rsid w:val="00BA4151"/>
    <w:rsid w:val="00BA6147"/>
    <w:rsid w:val="00BA682B"/>
    <w:rsid w:val="00BB0218"/>
    <w:rsid w:val="00BB32AD"/>
    <w:rsid w:val="00BC1ACC"/>
    <w:rsid w:val="00BC2BFD"/>
    <w:rsid w:val="00BC4A12"/>
    <w:rsid w:val="00BC4B77"/>
    <w:rsid w:val="00BC6E8D"/>
    <w:rsid w:val="00BC7BE2"/>
    <w:rsid w:val="00BC7C51"/>
    <w:rsid w:val="00BD205C"/>
    <w:rsid w:val="00BD2B52"/>
    <w:rsid w:val="00BD4059"/>
    <w:rsid w:val="00BD6A02"/>
    <w:rsid w:val="00BD75EB"/>
    <w:rsid w:val="00BE0F13"/>
    <w:rsid w:val="00BE22F2"/>
    <w:rsid w:val="00BE7D53"/>
    <w:rsid w:val="00BF4C8A"/>
    <w:rsid w:val="00C07743"/>
    <w:rsid w:val="00C11B2B"/>
    <w:rsid w:val="00C12811"/>
    <w:rsid w:val="00C166FD"/>
    <w:rsid w:val="00C20252"/>
    <w:rsid w:val="00C22F70"/>
    <w:rsid w:val="00C237D2"/>
    <w:rsid w:val="00C27699"/>
    <w:rsid w:val="00C31165"/>
    <w:rsid w:val="00C31C6F"/>
    <w:rsid w:val="00C3291E"/>
    <w:rsid w:val="00C32D1F"/>
    <w:rsid w:val="00C342AD"/>
    <w:rsid w:val="00C363FD"/>
    <w:rsid w:val="00C375EC"/>
    <w:rsid w:val="00C45602"/>
    <w:rsid w:val="00C45C2B"/>
    <w:rsid w:val="00C52028"/>
    <w:rsid w:val="00C52A34"/>
    <w:rsid w:val="00C634C5"/>
    <w:rsid w:val="00C65DB0"/>
    <w:rsid w:val="00C665E2"/>
    <w:rsid w:val="00C66ADA"/>
    <w:rsid w:val="00C711E1"/>
    <w:rsid w:val="00C71D37"/>
    <w:rsid w:val="00C74C55"/>
    <w:rsid w:val="00C765E9"/>
    <w:rsid w:val="00C76B1E"/>
    <w:rsid w:val="00C76CF8"/>
    <w:rsid w:val="00C80AE4"/>
    <w:rsid w:val="00C8191B"/>
    <w:rsid w:val="00C83F3E"/>
    <w:rsid w:val="00C842DE"/>
    <w:rsid w:val="00C8454D"/>
    <w:rsid w:val="00C862E9"/>
    <w:rsid w:val="00C87323"/>
    <w:rsid w:val="00C90D50"/>
    <w:rsid w:val="00C90D72"/>
    <w:rsid w:val="00C91A36"/>
    <w:rsid w:val="00C947F4"/>
    <w:rsid w:val="00C97BBD"/>
    <w:rsid w:val="00CA6A00"/>
    <w:rsid w:val="00CB12EA"/>
    <w:rsid w:val="00CB1372"/>
    <w:rsid w:val="00CB1888"/>
    <w:rsid w:val="00CB374E"/>
    <w:rsid w:val="00CB6BB3"/>
    <w:rsid w:val="00CC3753"/>
    <w:rsid w:val="00CC500C"/>
    <w:rsid w:val="00CD0871"/>
    <w:rsid w:val="00CD48C7"/>
    <w:rsid w:val="00CD6231"/>
    <w:rsid w:val="00CE51CF"/>
    <w:rsid w:val="00CF1180"/>
    <w:rsid w:val="00CF4433"/>
    <w:rsid w:val="00CF4AEC"/>
    <w:rsid w:val="00CF5166"/>
    <w:rsid w:val="00CF55B2"/>
    <w:rsid w:val="00CF6AFF"/>
    <w:rsid w:val="00D04DDB"/>
    <w:rsid w:val="00D06992"/>
    <w:rsid w:val="00D1031C"/>
    <w:rsid w:val="00D107EF"/>
    <w:rsid w:val="00D120D4"/>
    <w:rsid w:val="00D1368C"/>
    <w:rsid w:val="00D140C5"/>
    <w:rsid w:val="00D14D07"/>
    <w:rsid w:val="00D1657B"/>
    <w:rsid w:val="00D16DD2"/>
    <w:rsid w:val="00D20A2F"/>
    <w:rsid w:val="00D268D8"/>
    <w:rsid w:val="00D31764"/>
    <w:rsid w:val="00D31876"/>
    <w:rsid w:val="00D37456"/>
    <w:rsid w:val="00D378D2"/>
    <w:rsid w:val="00D40CC6"/>
    <w:rsid w:val="00D40D3D"/>
    <w:rsid w:val="00D41696"/>
    <w:rsid w:val="00D42CFF"/>
    <w:rsid w:val="00D52071"/>
    <w:rsid w:val="00D53356"/>
    <w:rsid w:val="00D5538A"/>
    <w:rsid w:val="00D571C2"/>
    <w:rsid w:val="00D57A60"/>
    <w:rsid w:val="00D653B1"/>
    <w:rsid w:val="00D6799B"/>
    <w:rsid w:val="00D71604"/>
    <w:rsid w:val="00D73BCB"/>
    <w:rsid w:val="00D81701"/>
    <w:rsid w:val="00D82195"/>
    <w:rsid w:val="00D87027"/>
    <w:rsid w:val="00D9070E"/>
    <w:rsid w:val="00D9084F"/>
    <w:rsid w:val="00D93330"/>
    <w:rsid w:val="00D94B79"/>
    <w:rsid w:val="00D95D37"/>
    <w:rsid w:val="00D95D61"/>
    <w:rsid w:val="00D96964"/>
    <w:rsid w:val="00DA00D0"/>
    <w:rsid w:val="00DA50D0"/>
    <w:rsid w:val="00DB1855"/>
    <w:rsid w:val="00DB3411"/>
    <w:rsid w:val="00DB3BC4"/>
    <w:rsid w:val="00DB62D1"/>
    <w:rsid w:val="00DB7EA7"/>
    <w:rsid w:val="00DC5DF6"/>
    <w:rsid w:val="00DC752D"/>
    <w:rsid w:val="00DD3931"/>
    <w:rsid w:val="00DE1484"/>
    <w:rsid w:val="00DE5918"/>
    <w:rsid w:val="00DE6405"/>
    <w:rsid w:val="00DF0AEE"/>
    <w:rsid w:val="00DF5271"/>
    <w:rsid w:val="00DF69C3"/>
    <w:rsid w:val="00DF7ED7"/>
    <w:rsid w:val="00E05538"/>
    <w:rsid w:val="00E103A5"/>
    <w:rsid w:val="00E1507B"/>
    <w:rsid w:val="00E16568"/>
    <w:rsid w:val="00E22A10"/>
    <w:rsid w:val="00E24A31"/>
    <w:rsid w:val="00E250AC"/>
    <w:rsid w:val="00E263D7"/>
    <w:rsid w:val="00E278C0"/>
    <w:rsid w:val="00E33398"/>
    <w:rsid w:val="00E348AC"/>
    <w:rsid w:val="00E3790C"/>
    <w:rsid w:val="00E4162B"/>
    <w:rsid w:val="00E43D2C"/>
    <w:rsid w:val="00E44C4D"/>
    <w:rsid w:val="00E45D9E"/>
    <w:rsid w:val="00E515D6"/>
    <w:rsid w:val="00E51CC7"/>
    <w:rsid w:val="00E62E13"/>
    <w:rsid w:val="00E63AC4"/>
    <w:rsid w:val="00E64986"/>
    <w:rsid w:val="00E663E8"/>
    <w:rsid w:val="00E7575B"/>
    <w:rsid w:val="00E75ACB"/>
    <w:rsid w:val="00E76D68"/>
    <w:rsid w:val="00E77B7F"/>
    <w:rsid w:val="00E82393"/>
    <w:rsid w:val="00E823FF"/>
    <w:rsid w:val="00E82913"/>
    <w:rsid w:val="00E852F2"/>
    <w:rsid w:val="00E85BDE"/>
    <w:rsid w:val="00E86424"/>
    <w:rsid w:val="00E86B79"/>
    <w:rsid w:val="00E94F1B"/>
    <w:rsid w:val="00E96CB7"/>
    <w:rsid w:val="00E96D2D"/>
    <w:rsid w:val="00E971E7"/>
    <w:rsid w:val="00E97977"/>
    <w:rsid w:val="00EA0865"/>
    <w:rsid w:val="00EA0989"/>
    <w:rsid w:val="00EA2620"/>
    <w:rsid w:val="00EA5502"/>
    <w:rsid w:val="00EA659B"/>
    <w:rsid w:val="00EC238A"/>
    <w:rsid w:val="00EC3EF6"/>
    <w:rsid w:val="00EC51AD"/>
    <w:rsid w:val="00EC63CB"/>
    <w:rsid w:val="00EC76CF"/>
    <w:rsid w:val="00EC7BB7"/>
    <w:rsid w:val="00EC7F1F"/>
    <w:rsid w:val="00EC7FE1"/>
    <w:rsid w:val="00ED1325"/>
    <w:rsid w:val="00EE0E84"/>
    <w:rsid w:val="00EE18BC"/>
    <w:rsid w:val="00EE1CAF"/>
    <w:rsid w:val="00EE3862"/>
    <w:rsid w:val="00EF11F6"/>
    <w:rsid w:val="00EF2394"/>
    <w:rsid w:val="00EF2536"/>
    <w:rsid w:val="00EF2AC6"/>
    <w:rsid w:val="00F00C64"/>
    <w:rsid w:val="00F016B9"/>
    <w:rsid w:val="00F01B9F"/>
    <w:rsid w:val="00F027DB"/>
    <w:rsid w:val="00F03D90"/>
    <w:rsid w:val="00F05609"/>
    <w:rsid w:val="00F07701"/>
    <w:rsid w:val="00F10469"/>
    <w:rsid w:val="00F1057F"/>
    <w:rsid w:val="00F14368"/>
    <w:rsid w:val="00F14DD2"/>
    <w:rsid w:val="00F17AB8"/>
    <w:rsid w:val="00F256F0"/>
    <w:rsid w:val="00F2622F"/>
    <w:rsid w:val="00F27CBC"/>
    <w:rsid w:val="00F32BDD"/>
    <w:rsid w:val="00F32FF3"/>
    <w:rsid w:val="00F36B16"/>
    <w:rsid w:val="00F37B5E"/>
    <w:rsid w:val="00F438FD"/>
    <w:rsid w:val="00F44ED6"/>
    <w:rsid w:val="00F47225"/>
    <w:rsid w:val="00F51B0A"/>
    <w:rsid w:val="00F55322"/>
    <w:rsid w:val="00F6086B"/>
    <w:rsid w:val="00F62AEC"/>
    <w:rsid w:val="00F71842"/>
    <w:rsid w:val="00F722A7"/>
    <w:rsid w:val="00F723B9"/>
    <w:rsid w:val="00F73A41"/>
    <w:rsid w:val="00F756C2"/>
    <w:rsid w:val="00F769D9"/>
    <w:rsid w:val="00F83A2E"/>
    <w:rsid w:val="00F84542"/>
    <w:rsid w:val="00F84B93"/>
    <w:rsid w:val="00F928BF"/>
    <w:rsid w:val="00F93118"/>
    <w:rsid w:val="00F932F3"/>
    <w:rsid w:val="00F9596C"/>
    <w:rsid w:val="00F96092"/>
    <w:rsid w:val="00F9647B"/>
    <w:rsid w:val="00FA3607"/>
    <w:rsid w:val="00FA6C3C"/>
    <w:rsid w:val="00FB02D4"/>
    <w:rsid w:val="00FB0CD1"/>
    <w:rsid w:val="00FB1608"/>
    <w:rsid w:val="00FB73C9"/>
    <w:rsid w:val="00FC1C28"/>
    <w:rsid w:val="00FC5736"/>
    <w:rsid w:val="00FD4281"/>
    <w:rsid w:val="00FD6DA3"/>
    <w:rsid w:val="00FE3AFC"/>
    <w:rsid w:val="00FE5176"/>
    <w:rsid w:val="00FE5505"/>
    <w:rsid w:val="00FF1121"/>
    <w:rsid w:val="00FF14A5"/>
    <w:rsid w:val="00FF26F8"/>
    <w:rsid w:val="00FF30C2"/>
    <w:rsid w:val="00FF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F88D"/>
  <w15:chartTrackingRefBased/>
  <w15:docId w15:val="{20B0F19B-3F68-4361-B0B9-48F15C62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153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153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B8"/>
    <w:pPr>
      <w:ind w:left="720"/>
      <w:contextualSpacing/>
    </w:pPr>
  </w:style>
  <w:style w:type="character" w:styleId="CommentReference">
    <w:name w:val="annotation reference"/>
    <w:basedOn w:val="DefaultParagraphFont"/>
    <w:uiPriority w:val="99"/>
    <w:semiHidden/>
    <w:unhideWhenUsed/>
    <w:rsid w:val="00BD205C"/>
    <w:rPr>
      <w:sz w:val="18"/>
      <w:szCs w:val="18"/>
    </w:rPr>
  </w:style>
  <w:style w:type="paragraph" w:styleId="CommentText">
    <w:name w:val="annotation text"/>
    <w:basedOn w:val="Normal"/>
    <w:link w:val="CommentTextChar"/>
    <w:uiPriority w:val="99"/>
    <w:unhideWhenUsed/>
    <w:rsid w:val="00BD205C"/>
    <w:pPr>
      <w:spacing w:line="240" w:lineRule="auto"/>
    </w:pPr>
    <w:rPr>
      <w:sz w:val="24"/>
      <w:szCs w:val="24"/>
    </w:rPr>
  </w:style>
  <w:style w:type="character" w:customStyle="1" w:styleId="CommentTextChar">
    <w:name w:val="Comment Text Char"/>
    <w:basedOn w:val="DefaultParagraphFont"/>
    <w:link w:val="CommentText"/>
    <w:uiPriority w:val="99"/>
    <w:rsid w:val="00BD205C"/>
    <w:rPr>
      <w:sz w:val="24"/>
      <w:szCs w:val="24"/>
    </w:rPr>
  </w:style>
  <w:style w:type="paragraph" w:styleId="CommentSubject">
    <w:name w:val="annotation subject"/>
    <w:basedOn w:val="CommentText"/>
    <w:next w:val="CommentText"/>
    <w:link w:val="CommentSubjectChar"/>
    <w:uiPriority w:val="99"/>
    <w:semiHidden/>
    <w:unhideWhenUsed/>
    <w:rsid w:val="00BD205C"/>
    <w:rPr>
      <w:b/>
      <w:bCs/>
      <w:sz w:val="20"/>
      <w:szCs w:val="20"/>
    </w:rPr>
  </w:style>
  <w:style w:type="character" w:customStyle="1" w:styleId="CommentSubjectChar">
    <w:name w:val="Comment Subject Char"/>
    <w:basedOn w:val="CommentTextChar"/>
    <w:link w:val="CommentSubject"/>
    <w:uiPriority w:val="99"/>
    <w:semiHidden/>
    <w:rsid w:val="00BD205C"/>
    <w:rPr>
      <w:b/>
      <w:bCs/>
      <w:sz w:val="20"/>
      <w:szCs w:val="20"/>
    </w:rPr>
  </w:style>
  <w:style w:type="paragraph" w:styleId="BalloonText">
    <w:name w:val="Balloon Text"/>
    <w:basedOn w:val="Normal"/>
    <w:link w:val="BalloonTextChar"/>
    <w:uiPriority w:val="99"/>
    <w:semiHidden/>
    <w:unhideWhenUsed/>
    <w:rsid w:val="00BD205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205C"/>
    <w:rPr>
      <w:rFonts w:ascii="Times New Roman" w:hAnsi="Times New Roman"/>
      <w:sz w:val="18"/>
      <w:szCs w:val="18"/>
    </w:rPr>
  </w:style>
  <w:style w:type="paragraph" w:styleId="Revision">
    <w:name w:val="Revision"/>
    <w:hidden/>
    <w:uiPriority w:val="99"/>
    <w:semiHidden/>
    <w:rsid w:val="00930C3A"/>
    <w:pPr>
      <w:spacing w:after="0" w:line="240" w:lineRule="auto"/>
    </w:pPr>
  </w:style>
  <w:style w:type="character" w:styleId="Hyperlink">
    <w:name w:val="Hyperlink"/>
    <w:basedOn w:val="DefaultParagraphFont"/>
    <w:uiPriority w:val="99"/>
    <w:unhideWhenUsed/>
    <w:rsid w:val="005B23F4"/>
    <w:rPr>
      <w:color w:val="0000FF" w:themeColor="hyperlink"/>
      <w:u w:val="single"/>
    </w:rPr>
  </w:style>
  <w:style w:type="character" w:customStyle="1" w:styleId="UnresolvedMention1">
    <w:name w:val="Unresolved Mention1"/>
    <w:basedOn w:val="DefaultParagraphFont"/>
    <w:uiPriority w:val="99"/>
    <w:semiHidden/>
    <w:unhideWhenUsed/>
    <w:rsid w:val="005B23F4"/>
    <w:rPr>
      <w:color w:val="605E5C"/>
      <w:shd w:val="clear" w:color="auto" w:fill="E1DFDD"/>
    </w:rPr>
  </w:style>
  <w:style w:type="character" w:styleId="UnresolvedMention">
    <w:name w:val="Unresolved Mention"/>
    <w:basedOn w:val="DefaultParagraphFont"/>
    <w:uiPriority w:val="99"/>
    <w:semiHidden/>
    <w:unhideWhenUsed/>
    <w:rsid w:val="000B6C25"/>
    <w:rPr>
      <w:color w:val="605E5C"/>
      <w:shd w:val="clear" w:color="auto" w:fill="E1DFDD"/>
    </w:rPr>
  </w:style>
  <w:style w:type="paragraph" w:styleId="Header">
    <w:name w:val="header"/>
    <w:basedOn w:val="Normal"/>
    <w:link w:val="HeaderChar"/>
    <w:unhideWhenUsed/>
    <w:rsid w:val="004905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5D0"/>
  </w:style>
  <w:style w:type="character" w:customStyle="1" w:styleId="style-111">
    <w:name w:val="style-111"/>
    <w:rsid w:val="00A91675"/>
    <w:rPr>
      <w:rFonts w:ascii="Times New Roman" w:hAnsi="Times New Roman" w:cs="Times New Roman" w:hint="default"/>
      <w:sz w:val="22"/>
      <w:szCs w:val="22"/>
    </w:rPr>
  </w:style>
  <w:style w:type="character" w:customStyle="1" w:styleId="style-151">
    <w:name w:val="style-151"/>
    <w:rsid w:val="00A91675"/>
    <w:rPr>
      <w:rFonts w:ascii="Times New Roman" w:hAnsi="Times New Roman" w:cs="Times New Roman" w:hint="default"/>
      <w:i/>
      <w:iCs/>
      <w:sz w:val="22"/>
      <w:szCs w:val="22"/>
    </w:rPr>
  </w:style>
  <w:style w:type="character" w:customStyle="1" w:styleId="style-161">
    <w:name w:val="style-161"/>
    <w:rsid w:val="00A91675"/>
    <w:rPr>
      <w:rFonts w:ascii="Times New Roman" w:hAnsi="Times New Roman" w:cs="Times New Roman" w:hint="default"/>
      <w:b/>
      <w:bCs/>
      <w:sz w:val="22"/>
      <w:szCs w:val="22"/>
    </w:rPr>
  </w:style>
  <w:style w:type="character" w:customStyle="1" w:styleId="src1">
    <w:name w:val="src1"/>
    <w:rsid w:val="00020E0E"/>
    <w:rPr>
      <w:vanish w:val="0"/>
      <w:webHidden w:val="0"/>
      <w:specVanish w:val="0"/>
    </w:rPr>
  </w:style>
  <w:style w:type="character" w:styleId="FollowedHyperlink">
    <w:name w:val="FollowedHyperlink"/>
    <w:basedOn w:val="DefaultParagraphFont"/>
    <w:uiPriority w:val="99"/>
    <w:semiHidden/>
    <w:unhideWhenUsed/>
    <w:rsid w:val="001C1959"/>
    <w:rPr>
      <w:color w:val="800080" w:themeColor="followedHyperlink"/>
      <w:u w:val="single"/>
    </w:rPr>
  </w:style>
  <w:style w:type="paragraph" w:styleId="Footer">
    <w:name w:val="footer"/>
    <w:basedOn w:val="Normal"/>
    <w:link w:val="FooterChar"/>
    <w:uiPriority w:val="99"/>
    <w:unhideWhenUsed/>
    <w:rsid w:val="004C0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DF1"/>
  </w:style>
  <w:style w:type="character" w:customStyle="1" w:styleId="Heading1Char">
    <w:name w:val="Heading 1 Char"/>
    <w:basedOn w:val="DefaultParagraphFont"/>
    <w:link w:val="Heading1"/>
    <w:uiPriority w:val="9"/>
    <w:rsid w:val="0031536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1536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rams.adp.vcu.edu\SOM\Shares\PMR\LIMBIC-CENC\Knowledge%20Translation\Clinician%20KT%20Products\Monographs\Mental%20Health%20and%20TBI%20for%20SMs,%20Vs%20and%20Families" TargetMode="External"/><Relationship Id="rId13" Type="http://schemas.openxmlformats.org/officeDocument/2006/relationships/hyperlink" Target="file:///\\rams.adp.vcu.edu\SOM\Shares\PMR\LIMBIC-CENC\Knowledge%20Translation\Clinician%20KT%20Products\Monographs\TBI%20and%20PTSD" TargetMode="External"/><Relationship Id="rId18" Type="http://schemas.openxmlformats.org/officeDocument/2006/relationships/hyperlink" Target="https://doi.org/10.1016/j.brat.2021.10389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file:///\\rams.adp.vcu.edu\SOM\Shares\PMR\LIMBIC-CENC\Knowledge%20Translation\Clinician%20KT%20Products\Monographs\TBI%20and%20Depression" TargetMode="External"/><Relationship Id="rId17" Type="http://schemas.openxmlformats.org/officeDocument/2006/relationships/hyperlink" Target="https://www.limbic-cenc.org/for-service-members-and-veterans-with-tbi/the-abstract-veterans-tbi-health-and-outcomes-podcasts/" TargetMode="External"/><Relationship Id="rId2" Type="http://schemas.openxmlformats.org/officeDocument/2006/relationships/styles" Target="styles.xml"/><Relationship Id="rId16" Type="http://schemas.openxmlformats.org/officeDocument/2006/relationships/hyperlink" Target="https://www.youtube.com/watch?v=ODlHArfPSJ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mbic-cenc.org/for-tbi-clinicians/wellness-clinicians/" TargetMode="External"/><Relationship Id="rId5" Type="http://schemas.openxmlformats.org/officeDocument/2006/relationships/footnotes" Target="footnotes.xml"/><Relationship Id="rId15" Type="http://schemas.openxmlformats.org/officeDocument/2006/relationships/hyperlink" Target="https://www.youtube.com/watch?v=3D5y_lsjTJc&amp;t=49s" TargetMode="External"/><Relationship Id="rId10" Type="http://schemas.openxmlformats.org/officeDocument/2006/relationships/hyperlink" Target="https://www.limbic-cenc.org/for-tbi-clinicians/mental-health-clinician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mbic-cenc.org/for-service-members-and-veterans-with-tbi/wellness-veterans/" TargetMode="External"/><Relationship Id="rId14" Type="http://schemas.openxmlformats.org/officeDocument/2006/relationships/hyperlink" Target="https://www.youtube.com/watch?v=SJ6Vawx4q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2151</Words>
  <Characters>12262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William  C   RICVAMC</dc:creator>
  <cp:keywords/>
  <dc:description/>
  <cp:lastModifiedBy>Ronald Seel</cp:lastModifiedBy>
  <cp:revision>5</cp:revision>
  <cp:lastPrinted>2024-04-07T14:49:00Z</cp:lastPrinted>
  <dcterms:created xsi:type="dcterms:W3CDTF">2024-10-24T18:52:00Z</dcterms:created>
  <dcterms:modified xsi:type="dcterms:W3CDTF">2024-10-24T19:12:00Z</dcterms:modified>
</cp:coreProperties>
</file>