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CD0BC" w14:textId="77777777" w:rsidR="003B0891" w:rsidRDefault="003B0891" w:rsidP="003B0891">
      <w:pPr>
        <w:spacing w:after="0" w:line="240" w:lineRule="auto"/>
        <w:jc w:val="right"/>
        <w:rPr>
          <w:b/>
          <w:color w:val="003F72"/>
          <w:sz w:val="28"/>
          <w:szCs w:val="28"/>
        </w:rPr>
      </w:pPr>
      <w:r>
        <w:rPr>
          <w:rFonts w:ascii="Arial" w:hAnsi="Arial"/>
          <w:noProof/>
          <w:color w:val="244061" w:themeColor="accent1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741475" wp14:editId="74417A35">
                <wp:simplePos x="0" y="0"/>
                <wp:positionH relativeFrom="margin">
                  <wp:posOffset>2806700</wp:posOffset>
                </wp:positionH>
                <wp:positionV relativeFrom="paragraph">
                  <wp:posOffset>-128905</wp:posOffset>
                </wp:positionV>
                <wp:extent cx="4206240" cy="914400"/>
                <wp:effectExtent l="0" t="0" r="381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DEAB0" w14:textId="77777777" w:rsidR="005E76F6" w:rsidRDefault="003B089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</w:pPr>
                            <w:r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LIMBIC-CENC Clinical Care Monograph Version 2</w:t>
                            </w:r>
                          </w:p>
                          <w:p w14:paraId="6C4FC0AD" w14:textId="5BD74CDA" w:rsidR="003B0891" w:rsidRPr="001D5B1C" w:rsidRDefault="005E76F6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H</w:t>
                            </w:r>
                            <w:r w:rsidR="003B0891"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. TBI</w:t>
                            </w: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, Disability,</w:t>
                            </w:r>
                            <w:r w:rsidR="003B0891" w:rsidRPr="001D5B1C"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color w:val="003F72"/>
                                <w:sz w:val="28"/>
                                <w:szCs w:val="26"/>
                              </w:rPr>
                              <w:t>Veterans Health Services</w:t>
                            </w:r>
                          </w:p>
                          <w:p w14:paraId="4A9FA1F6" w14:textId="77777777" w:rsidR="003B0891" w:rsidRPr="001D5B1C" w:rsidRDefault="003B089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from LIMBIC-CENC Knowledge Translation Center (LIMBIC</w:t>
                            </w:r>
                            <w:r w:rsidRPr="001D5B1C">
                              <w:rPr>
                                <w:sz w:val="24"/>
                                <w:szCs w:val="26"/>
                                <w:vertAlign w:val="superscript"/>
                              </w:rPr>
                              <w:t>TM</w:t>
                            </w:r>
                            <w:r w:rsidRPr="001D5B1C">
                              <w:rPr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  <w:p w14:paraId="6915309C" w14:textId="77777777" w:rsidR="003B0891" w:rsidRPr="001D5B1C" w:rsidRDefault="003B0891" w:rsidP="003B0891">
                            <w:pPr>
                              <w:shd w:val="clear" w:color="auto" w:fill="DBE5F1" w:themeFill="accent1" w:themeFillTint="33"/>
                              <w:spacing w:after="0" w:line="240" w:lineRule="auto"/>
                              <w:rPr>
                                <w:b/>
                                <w:color w:val="003F72"/>
                                <w:sz w:val="24"/>
                                <w:szCs w:val="26"/>
                              </w:rPr>
                            </w:pPr>
                            <w:r w:rsidRPr="001D5B1C">
                              <w:rPr>
                                <w:sz w:val="24"/>
                                <w:szCs w:val="26"/>
                              </w:rPr>
                              <w:t>April 17, 2024, Richmond, 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741475" id="Text Box 25" o:spid="_x0000_s1033" type="#_x0000_t202" style="position:absolute;left:0;text-align:left;margin-left:221pt;margin-top:-10.15pt;width:331.2pt;height:1in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" fillcolor="white [3201]" stroked="f" strokeweight=".5pt">
                <v:textbox>
                  <w:txbxContent>
                    <w:p w14:paraId="6A8DEAB0" w14:textId="77777777" w:rsidR="005E76F6" w:rsidRDefault="003B089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8"/>
                          <w:szCs w:val="26"/>
                        </w:rPr>
                      </w:pPr>
                      <w:r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LIMBIC-CENC Clinical Care Monograph Version 2</w:t>
                      </w:r>
                    </w:p>
                    <w:p w14:paraId="6C4FC0AD" w14:textId="5BD74CDA" w:rsidR="003B0891" w:rsidRPr="001D5B1C" w:rsidRDefault="005E76F6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H</w:t>
                      </w:r>
                      <w:r w:rsidR="003B0891"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>. TBI</w:t>
                      </w: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, Disability,</w:t>
                      </w:r>
                      <w:r w:rsidR="003B0891" w:rsidRPr="001D5B1C">
                        <w:rPr>
                          <w:b/>
                          <w:color w:val="003F72"/>
                          <w:sz w:val="28"/>
                          <w:szCs w:val="26"/>
                        </w:rPr>
                        <w:t xml:space="preserve"> and </w:t>
                      </w:r>
                      <w:r>
                        <w:rPr>
                          <w:b/>
                          <w:color w:val="003F72"/>
                          <w:sz w:val="28"/>
                          <w:szCs w:val="26"/>
                        </w:rPr>
                        <w:t>Veterans Health Services</w:t>
                      </w:r>
                    </w:p>
                    <w:p w14:paraId="4A9FA1F6" w14:textId="77777777" w:rsidR="003B0891" w:rsidRPr="001D5B1C" w:rsidRDefault="003B089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from LIMBIC-CENC Knowledge Translation Center (LIMBIC</w:t>
                      </w:r>
                      <w:r w:rsidRPr="001D5B1C">
                        <w:rPr>
                          <w:sz w:val="24"/>
                          <w:szCs w:val="26"/>
                          <w:vertAlign w:val="superscript"/>
                        </w:rPr>
                        <w:t>TM</w:t>
                      </w:r>
                      <w:r w:rsidRPr="001D5B1C">
                        <w:rPr>
                          <w:sz w:val="24"/>
                          <w:szCs w:val="26"/>
                        </w:rPr>
                        <w:t>)</w:t>
                      </w:r>
                    </w:p>
                    <w:p w14:paraId="6915309C" w14:textId="77777777" w:rsidR="003B0891" w:rsidRPr="001D5B1C" w:rsidRDefault="003B0891" w:rsidP="003B0891">
                      <w:pPr>
                        <w:shd w:val="clear" w:color="auto" w:fill="DBE5F1" w:themeFill="accent1" w:themeFillTint="33"/>
                        <w:spacing w:after="0" w:line="240" w:lineRule="auto"/>
                        <w:rPr>
                          <w:b/>
                          <w:color w:val="003F72"/>
                          <w:sz w:val="24"/>
                          <w:szCs w:val="26"/>
                        </w:rPr>
                      </w:pPr>
                      <w:r w:rsidRPr="001D5B1C">
                        <w:rPr>
                          <w:sz w:val="24"/>
                          <w:szCs w:val="26"/>
                        </w:rPr>
                        <w:t>April 17, 2024, Richmond, 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9D">
        <w:rPr>
          <w:rFonts w:ascii="Arial" w:hAnsi="Arial"/>
          <w:noProof/>
          <w:color w:val="244061" w:themeColor="accent1" w:themeShade="80"/>
        </w:rPr>
        <w:drawing>
          <wp:anchor distT="0" distB="0" distL="114300" distR="114300" simplePos="0" relativeHeight="251695104" behindDoc="1" locked="0" layoutInCell="1" allowOverlap="0" wp14:anchorId="0EFA3BD1" wp14:editId="30D57E71">
            <wp:simplePos x="0" y="0"/>
            <wp:positionH relativeFrom="margin">
              <wp:align>left</wp:align>
            </wp:positionH>
            <wp:positionV relativeFrom="margin">
              <wp:posOffset>-227965</wp:posOffset>
            </wp:positionV>
            <wp:extent cx="2640067" cy="1097280"/>
            <wp:effectExtent l="0" t="0" r="0" b="0"/>
            <wp:wrapTight wrapText="right">
              <wp:wrapPolygon edited="0">
                <wp:start x="1247" y="2250"/>
                <wp:lineTo x="779" y="4125"/>
                <wp:lineTo x="624" y="16875"/>
                <wp:lineTo x="1715" y="18375"/>
                <wp:lineTo x="3118" y="19125"/>
                <wp:lineTo x="4832" y="19125"/>
                <wp:lineTo x="19173" y="18000"/>
                <wp:lineTo x="19953" y="15750"/>
                <wp:lineTo x="18394" y="15000"/>
                <wp:lineTo x="21356" y="9375"/>
                <wp:lineTo x="21356" y="4125"/>
                <wp:lineTo x="21044" y="2250"/>
                <wp:lineTo x="1247" y="2250"/>
              </wp:wrapPolygon>
            </wp:wrapTight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067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09EFA" w14:textId="77777777" w:rsidR="003B0891" w:rsidRPr="00394619" w:rsidRDefault="003B0891" w:rsidP="003B0891">
      <w:pPr>
        <w:spacing w:after="0" w:line="240" w:lineRule="auto"/>
        <w:jc w:val="right"/>
        <w:rPr>
          <w:b/>
          <w:color w:val="003F72"/>
          <w:sz w:val="28"/>
          <w:szCs w:val="28"/>
        </w:rPr>
      </w:pPr>
    </w:p>
    <w:p w14:paraId="4D9FBF20" w14:textId="77777777" w:rsidR="003B0891" w:rsidRPr="008B6319" w:rsidRDefault="003B0891" w:rsidP="003B0891">
      <w:pPr>
        <w:spacing w:after="0" w:line="240" w:lineRule="auto"/>
        <w:jc w:val="right"/>
        <w:rPr>
          <w:sz w:val="24"/>
          <w:szCs w:val="24"/>
        </w:rPr>
      </w:pPr>
    </w:p>
    <w:p w14:paraId="61486E42" w14:textId="33E4BFC8" w:rsidR="00775205" w:rsidRDefault="00775205" w:rsidP="007F3F41">
      <w:pPr>
        <w:spacing w:after="0" w:line="240" w:lineRule="auto"/>
        <w:rPr>
          <w:bCs/>
          <w:sz w:val="24"/>
          <w:szCs w:val="24"/>
        </w:rPr>
      </w:pPr>
    </w:p>
    <w:p w14:paraId="699E210A" w14:textId="77777777" w:rsidR="004F36F7" w:rsidRDefault="004F36F7" w:rsidP="007F3F41">
      <w:pPr>
        <w:spacing w:after="0" w:line="240" w:lineRule="auto"/>
        <w:rPr>
          <w:bCs/>
          <w:sz w:val="24"/>
          <w:szCs w:val="24"/>
        </w:rPr>
      </w:pPr>
    </w:p>
    <w:p w14:paraId="2F2BC3D0" w14:textId="6C004381" w:rsidR="00E348AC" w:rsidRPr="00110466" w:rsidRDefault="00110466" w:rsidP="00110466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120" w:line="240" w:lineRule="auto"/>
        <w:rPr>
          <w:b/>
          <w:color w:val="FFFFFF" w:themeColor="background1"/>
          <w:sz w:val="28"/>
          <w:szCs w:val="24"/>
        </w:rPr>
      </w:pPr>
      <w:r>
        <w:rPr>
          <w:b/>
          <w:color w:val="FFFFFF" w:themeColor="background1"/>
          <w:sz w:val="28"/>
          <w:szCs w:val="24"/>
        </w:rPr>
        <w:t xml:space="preserve">H. </w:t>
      </w:r>
      <w:bookmarkStart w:id="0" w:name="_GoBack"/>
      <w:bookmarkEnd w:id="0"/>
      <w:r w:rsidR="00E348AC" w:rsidRPr="00110466">
        <w:rPr>
          <w:b/>
          <w:color w:val="FFFFFF" w:themeColor="background1"/>
          <w:sz w:val="28"/>
          <w:szCs w:val="24"/>
        </w:rPr>
        <w:t>TBI</w:t>
      </w:r>
      <w:r w:rsidR="0054227A" w:rsidRPr="00110466">
        <w:rPr>
          <w:b/>
          <w:color w:val="FFFFFF" w:themeColor="background1"/>
          <w:sz w:val="28"/>
          <w:szCs w:val="24"/>
        </w:rPr>
        <w:t>, Disability</w:t>
      </w:r>
      <w:r w:rsidR="005E76F6" w:rsidRPr="00110466">
        <w:rPr>
          <w:b/>
          <w:color w:val="FFFFFF" w:themeColor="background1"/>
          <w:sz w:val="28"/>
          <w:szCs w:val="24"/>
        </w:rPr>
        <w:t>,</w:t>
      </w:r>
      <w:r w:rsidR="00CF4AEC" w:rsidRPr="00110466">
        <w:rPr>
          <w:b/>
          <w:color w:val="FFFFFF" w:themeColor="background1"/>
          <w:sz w:val="28"/>
          <w:szCs w:val="24"/>
        </w:rPr>
        <w:t xml:space="preserve"> and </w:t>
      </w:r>
      <w:r w:rsidR="009A7862" w:rsidRPr="00110466">
        <w:rPr>
          <w:b/>
          <w:color w:val="FFFFFF" w:themeColor="background1"/>
          <w:sz w:val="28"/>
          <w:szCs w:val="24"/>
        </w:rPr>
        <w:t xml:space="preserve">Veterans </w:t>
      </w:r>
      <w:r w:rsidR="00907672" w:rsidRPr="00110466">
        <w:rPr>
          <w:b/>
          <w:color w:val="FFFFFF" w:themeColor="background1"/>
          <w:sz w:val="28"/>
          <w:szCs w:val="24"/>
        </w:rPr>
        <w:t xml:space="preserve">Health </w:t>
      </w:r>
      <w:r w:rsidR="009A7862" w:rsidRPr="00110466">
        <w:rPr>
          <w:b/>
          <w:color w:val="FFFFFF" w:themeColor="background1"/>
          <w:sz w:val="28"/>
          <w:szCs w:val="24"/>
        </w:rPr>
        <w:t>Service</w:t>
      </w:r>
      <w:r w:rsidR="00907672" w:rsidRPr="00110466">
        <w:rPr>
          <w:b/>
          <w:color w:val="FFFFFF" w:themeColor="background1"/>
          <w:sz w:val="28"/>
          <w:szCs w:val="24"/>
        </w:rPr>
        <w:t>s</w:t>
      </w:r>
    </w:p>
    <w:p w14:paraId="16E6509F" w14:textId="0F31F776" w:rsidR="00DE6405" w:rsidRPr="00A30748" w:rsidRDefault="006660EB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Key Finding</w:t>
      </w:r>
      <w:r w:rsidR="00DE6405" w:rsidRPr="00A30748">
        <w:rPr>
          <w:b/>
          <w:color w:val="1F497D" w:themeColor="text2"/>
          <w:sz w:val="28"/>
          <w:szCs w:val="24"/>
        </w:rPr>
        <w:t>s</w:t>
      </w:r>
    </w:p>
    <w:p w14:paraId="699191FD" w14:textId="59C0882A" w:rsidR="00F10469" w:rsidRDefault="00B727CC" w:rsidP="00D41696">
      <w:pPr>
        <w:pStyle w:val="ListParagraph"/>
        <w:numPr>
          <w:ilvl w:val="0"/>
          <w:numId w:val="1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 w:rsidRPr="00B727CC">
        <w:rPr>
          <w:b/>
          <w:sz w:val="24"/>
          <w:szCs w:val="24"/>
        </w:rPr>
        <w:t>TBI and Service-connected Disability Ratings</w:t>
      </w:r>
      <w:r>
        <w:rPr>
          <w:sz w:val="24"/>
          <w:szCs w:val="24"/>
        </w:rPr>
        <w:t xml:space="preserve">. </w:t>
      </w:r>
      <w:r w:rsidR="007847C0">
        <w:rPr>
          <w:sz w:val="24"/>
          <w:szCs w:val="24"/>
        </w:rPr>
        <w:t>S</w:t>
      </w:r>
      <w:r w:rsidR="00F10469" w:rsidRPr="00DE6405">
        <w:rPr>
          <w:sz w:val="24"/>
          <w:szCs w:val="24"/>
        </w:rPr>
        <w:t>ervice-connected disability ratings</w:t>
      </w:r>
      <w:r w:rsidR="006660EB" w:rsidRPr="00DE6405">
        <w:rPr>
          <w:sz w:val="24"/>
          <w:szCs w:val="24"/>
          <w:vertAlign w:val="superscript"/>
        </w:rPr>
        <w:t>1</w:t>
      </w:r>
      <w:r w:rsidR="00F10469" w:rsidRPr="00DE6405">
        <w:rPr>
          <w:sz w:val="24"/>
          <w:szCs w:val="24"/>
        </w:rPr>
        <w:t xml:space="preserve"> and medical service </w:t>
      </w:r>
      <w:r w:rsidR="00410C1E" w:rsidRPr="00DE6405">
        <w:rPr>
          <w:sz w:val="24"/>
          <w:szCs w:val="24"/>
        </w:rPr>
        <w:t>use</w:t>
      </w:r>
      <w:r w:rsidR="007B7318">
        <w:rPr>
          <w:sz w:val="24"/>
          <w:szCs w:val="24"/>
          <w:vertAlign w:val="superscript"/>
        </w:rPr>
        <w:t>2</w:t>
      </w:r>
      <w:r w:rsidR="00410C1E" w:rsidRPr="00DE6405">
        <w:rPr>
          <w:sz w:val="24"/>
          <w:szCs w:val="24"/>
          <w:vertAlign w:val="superscript"/>
        </w:rPr>
        <w:t xml:space="preserve"> </w:t>
      </w:r>
      <w:r w:rsidR="007847C0">
        <w:rPr>
          <w:sz w:val="24"/>
          <w:szCs w:val="24"/>
        </w:rPr>
        <w:t>are h</w:t>
      </w:r>
      <w:r w:rsidR="007847C0" w:rsidRPr="00DE6405">
        <w:rPr>
          <w:sz w:val="24"/>
          <w:szCs w:val="24"/>
        </w:rPr>
        <w:t>ighest</w:t>
      </w:r>
      <w:r w:rsidR="007847C0">
        <w:rPr>
          <w:sz w:val="24"/>
          <w:szCs w:val="24"/>
        </w:rPr>
        <w:t xml:space="preserve"> </w:t>
      </w:r>
      <w:r w:rsidR="00410C1E" w:rsidRPr="00DE6405">
        <w:rPr>
          <w:sz w:val="24"/>
          <w:szCs w:val="24"/>
        </w:rPr>
        <w:t>for V</w:t>
      </w:r>
      <w:r w:rsidR="00B30B68">
        <w:rPr>
          <w:sz w:val="24"/>
          <w:szCs w:val="24"/>
        </w:rPr>
        <w:t>eteran</w:t>
      </w:r>
      <w:r w:rsidR="00410C1E" w:rsidRPr="00DE6405">
        <w:rPr>
          <w:sz w:val="24"/>
          <w:szCs w:val="24"/>
        </w:rPr>
        <w:t>s with</w:t>
      </w:r>
      <w:r w:rsidR="00F37B5E" w:rsidRPr="00DE6405">
        <w:rPr>
          <w:sz w:val="24"/>
          <w:szCs w:val="24"/>
        </w:rPr>
        <w:t xml:space="preserve"> </w:t>
      </w:r>
      <w:r w:rsidR="00E63AC4" w:rsidRPr="00DE6405">
        <w:rPr>
          <w:sz w:val="24"/>
          <w:szCs w:val="24"/>
        </w:rPr>
        <w:t>blast-related</w:t>
      </w:r>
      <w:r w:rsidR="00F37B5E" w:rsidRPr="00DE6405">
        <w:rPr>
          <w:sz w:val="24"/>
          <w:szCs w:val="24"/>
        </w:rPr>
        <w:t xml:space="preserve"> mTBI</w:t>
      </w:r>
      <w:r w:rsidR="00410C1E" w:rsidRPr="00DE6405">
        <w:rPr>
          <w:sz w:val="24"/>
          <w:szCs w:val="24"/>
        </w:rPr>
        <w:t xml:space="preserve">, </w:t>
      </w:r>
      <w:r w:rsidR="007246D8">
        <w:rPr>
          <w:sz w:val="24"/>
          <w:szCs w:val="24"/>
        </w:rPr>
        <w:t>followed by</w:t>
      </w:r>
      <w:r w:rsidR="007847C0">
        <w:rPr>
          <w:sz w:val="24"/>
          <w:szCs w:val="24"/>
        </w:rPr>
        <w:t xml:space="preserve"> </w:t>
      </w:r>
      <w:r w:rsidR="00410C1E" w:rsidRPr="00DE6405">
        <w:rPr>
          <w:sz w:val="24"/>
          <w:szCs w:val="24"/>
        </w:rPr>
        <w:t xml:space="preserve">blunt mTBI, and </w:t>
      </w:r>
      <w:r w:rsidR="00B30B68">
        <w:rPr>
          <w:sz w:val="24"/>
          <w:szCs w:val="24"/>
        </w:rPr>
        <w:t xml:space="preserve">are </w:t>
      </w:r>
      <w:r w:rsidR="00410C1E" w:rsidRPr="00DE6405">
        <w:rPr>
          <w:sz w:val="24"/>
          <w:szCs w:val="24"/>
        </w:rPr>
        <w:t>lowest for</w:t>
      </w:r>
      <w:r w:rsidR="007246D8">
        <w:rPr>
          <w:sz w:val="24"/>
          <w:szCs w:val="24"/>
        </w:rPr>
        <w:t xml:space="preserve"> Veterans</w:t>
      </w:r>
      <w:r w:rsidR="00410C1E" w:rsidRPr="00DE6405">
        <w:rPr>
          <w:sz w:val="24"/>
          <w:szCs w:val="24"/>
        </w:rPr>
        <w:t xml:space="preserve"> without TBI</w:t>
      </w:r>
      <w:r w:rsidR="00F10469" w:rsidRPr="00DE6405">
        <w:rPr>
          <w:sz w:val="24"/>
          <w:szCs w:val="24"/>
        </w:rPr>
        <w:t>.</w:t>
      </w:r>
      <w:r w:rsidR="00B30B68" w:rsidRPr="00B30B68">
        <w:rPr>
          <w:sz w:val="24"/>
          <w:szCs w:val="24"/>
          <w:vertAlign w:val="superscript"/>
        </w:rPr>
        <w:t xml:space="preserve"> </w:t>
      </w:r>
      <w:r w:rsidR="00B30B68" w:rsidRPr="00DE6405">
        <w:rPr>
          <w:sz w:val="24"/>
          <w:szCs w:val="24"/>
          <w:vertAlign w:val="superscript"/>
        </w:rPr>
        <w:t>1</w:t>
      </w:r>
      <w:r w:rsidR="00B30B68">
        <w:rPr>
          <w:sz w:val="24"/>
          <w:szCs w:val="24"/>
          <w:vertAlign w:val="superscript"/>
        </w:rPr>
        <w:t>, 2</w:t>
      </w:r>
      <w:r w:rsidR="007F5520">
        <w:rPr>
          <w:sz w:val="24"/>
          <w:szCs w:val="24"/>
        </w:rPr>
        <w:t xml:space="preserve"> </w:t>
      </w:r>
      <w:r w:rsidR="000A5AE2">
        <w:rPr>
          <w:sz w:val="24"/>
          <w:szCs w:val="24"/>
        </w:rPr>
        <w:t>H</w:t>
      </w:r>
      <w:r w:rsidR="000A5AE2" w:rsidRPr="00C31C6F">
        <w:rPr>
          <w:rFonts w:cstheme="minorHAnsi"/>
          <w:sz w:val="24"/>
          <w:szCs w:val="24"/>
        </w:rPr>
        <w:t xml:space="preserve">igh prevalence of TBI service connected disability </w:t>
      </w:r>
      <w:r w:rsidR="000A5AE2">
        <w:rPr>
          <w:rFonts w:cstheme="minorHAnsi"/>
          <w:sz w:val="24"/>
          <w:szCs w:val="24"/>
        </w:rPr>
        <w:t xml:space="preserve">was found in Veterans who identified as </w:t>
      </w:r>
      <w:r w:rsidR="000A5AE2" w:rsidRPr="00C31C6F">
        <w:rPr>
          <w:rFonts w:cstheme="minorHAnsi"/>
          <w:sz w:val="24"/>
          <w:szCs w:val="24"/>
        </w:rPr>
        <w:t>Pacific Islanders and Native Americans</w:t>
      </w:r>
      <w:r w:rsidR="000A5AE2">
        <w:rPr>
          <w:rFonts w:cstheme="minorHAnsi"/>
          <w:sz w:val="24"/>
          <w:szCs w:val="24"/>
        </w:rPr>
        <w:t>.</w:t>
      </w:r>
      <w:r w:rsidR="000A5AE2">
        <w:rPr>
          <w:sz w:val="24"/>
          <w:szCs w:val="24"/>
          <w:vertAlign w:val="superscript"/>
        </w:rPr>
        <w:t>2</w:t>
      </w:r>
    </w:p>
    <w:p w14:paraId="352051E7" w14:textId="7278505B" w:rsidR="00CF4AEC" w:rsidRPr="00B43581" w:rsidRDefault="00B727CC" w:rsidP="00D41696">
      <w:pPr>
        <w:pStyle w:val="ListParagraph"/>
        <w:numPr>
          <w:ilvl w:val="0"/>
          <w:numId w:val="1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 w:rsidRPr="00B43581">
        <w:rPr>
          <w:b/>
          <w:sz w:val="24"/>
          <w:szCs w:val="24"/>
        </w:rPr>
        <w:t>TBI, Race, Ethnicity and Outcomes</w:t>
      </w:r>
      <w:r w:rsidRPr="00B43581">
        <w:rPr>
          <w:sz w:val="24"/>
          <w:szCs w:val="24"/>
        </w:rPr>
        <w:t xml:space="preserve">. </w:t>
      </w:r>
      <w:r w:rsidR="00CB1888">
        <w:rPr>
          <w:sz w:val="24"/>
          <w:szCs w:val="24"/>
        </w:rPr>
        <w:t>Dementia risk in Veteran</w:t>
      </w:r>
      <w:r w:rsidR="007F3F41">
        <w:rPr>
          <w:sz w:val="24"/>
          <w:szCs w:val="24"/>
        </w:rPr>
        <w:t>s</w:t>
      </w:r>
      <w:r w:rsidR="00CB1888">
        <w:rPr>
          <w:sz w:val="24"/>
          <w:szCs w:val="24"/>
        </w:rPr>
        <w:t xml:space="preserve"> with TBI differ by race with </w:t>
      </w:r>
      <w:r w:rsidR="00CB1888" w:rsidRPr="00B43581">
        <w:rPr>
          <w:sz w:val="24"/>
          <w:szCs w:val="24"/>
        </w:rPr>
        <w:t>White V</w:t>
      </w:r>
      <w:r w:rsidR="007F3F41">
        <w:rPr>
          <w:sz w:val="24"/>
          <w:szCs w:val="24"/>
        </w:rPr>
        <w:t xml:space="preserve">eterans </w:t>
      </w:r>
      <w:r w:rsidR="00CB1888">
        <w:rPr>
          <w:sz w:val="24"/>
          <w:szCs w:val="24"/>
        </w:rPr>
        <w:t xml:space="preserve">having </w:t>
      </w:r>
      <w:r w:rsidR="007246D8">
        <w:rPr>
          <w:sz w:val="24"/>
          <w:szCs w:val="24"/>
        </w:rPr>
        <w:t>3 times</w:t>
      </w:r>
      <w:r w:rsidR="007F3F41">
        <w:rPr>
          <w:sz w:val="24"/>
          <w:szCs w:val="24"/>
        </w:rPr>
        <w:t xml:space="preserve"> </w:t>
      </w:r>
      <w:r w:rsidR="00CB1888">
        <w:rPr>
          <w:sz w:val="24"/>
          <w:szCs w:val="24"/>
        </w:rPr>
        <w:t>highe</w:t>
      </w:r>
      <w:r w:rsidR="007F3F41">
        <w:rPr>
          <w:sz w:val="24"/>
          <w:szCs w:val="24"/>
        </w:rPr>
        <w:t xml:space="preserve">r </w:t>
      </w:r>
      <w:r w:rsidR="00CB1888">
        <w:rPr>
          <w:sz w:val="24"/>
          <w:szCs w:val="24"/>
        </w:rPr>
        <w:t xml:space="preserve">risk, </w:t>
      </w:r>
      <w:r w:rsidR="007F3F41">
        <w:rPr>
          <w:sz w:val="24"/>
          <w:szCs w:val="24"/>
        </w:rPr>
        <w:t xml:space="preserve">and </w:t>
      </w:r>
      <w:r w:rsidR="00CB1888" w:rsidRPr="00B43581">
        <w:rPr>
          <w:sz w:val="24"/>
          <w:szCs w:val="24"/>
        </w:rPr>
        <w:t xml:space="preserve">Black </w:t>
      </w:r>
      <w:r w:rsidR="007F3F41">
        <w:rPr>
          <w:sz w:val="24"/>
          <w:szCs w:val="24"/>
        </w:rPr>
        <w:t xml:space="preserve">and Hispanic </w:t>
      </w:r>
      <w:r w:rsidR="00CB1888" w:rsidRPr="00B43581">
        <w:rPr>
          <w:sz w:val="24"/>
          <w:szCs w:val="24"/>
        </w:rPr>
        <w:t xml:space="preserve">Veterans </w:t>
      </w:r>
      <w:r w:rsidR="00CB1888">
        <w:rPr>
          <w:sz w:val="24"/>
          <w:szCs w:val="24"/>
        </w:rPr>
        <w:t xml:space="preserve">having </w:t>
      </w:r>
      <w:r w:rsidR="007246D8">
        <w:rPr>
          <w:sz w:val="24"/>
          <w:szCs w:val="24"/>
        </w:rPr>
        <w:t>2</w:t>
      </w:r>
      <w:r w:rsidR="007F3F41">
        <w:rPr>
          <w:sz w:val="24"/>
          <w:szCs w:val="24"/>
        </w:rPr>
        <w:t xml:space="preserve"> times higher risk compared to Veterans by racial group without TBI.</w:t>
      </w:r>
      <w:r w:rsidR="00B84311">
        <w:rPr>
          <w:sz w:val="24"/>
          <w:szCs w:val="24"/>
          <w:vertAlign w:val="superscript"/>
        </w:rPr>
        <w:t>3</w:t>
      </w:r>
      <w:r w:rsidR="00BC1ACC">
        <w:rPr>
          <w:sz w:val="24"/>
          <w:szCs w:val="24"/>
        </w:rPr>
        <w:t xml:space="preserve"> </w:t>
      </w:r>
      <w:r w:rsidR="00B43581">
        <w:rPr>
          <w:sz w:val="24"/>
          <w:szCs w:val="24"/>
        </w:rPr>
        <w:t>R</w:t>
      </w:r>
      <w:r w:rsidR="00CF4AEC" w:rsidRPr="00B43581">
        <w:rPr>
          <w:sz w:val="24"/>
          <w:szCs w:val="24"/>
        </w:rPr>
        <w:t xml:space="preserve">acial/ethnic disparities </w:t>
      </w:r>
      <w:r w:rsidR="007246D8">
        <w:rPr>
          <w:sz w:val="24"/>
          <w:szCs w:val="24"/>
        </w:rPr>
        <w:t>and</w:t>
      </w:r>
      <w:r w:rsidR="00CF4AEC" w:rsidRPr="00B43581">
        <w:rPr>
          <w:sz w:val="24"/>
          <w:szCs w:val="24"/>
        </w:rPr>
        <w:t xml:space="preserve"> service connected disability disparities </w:t>
      </w:r>
      <w:r w:rsidR="00B84311">
        <w:rPr>
          <w:sz w:val="24"/>
          <w:szCs w:val="24"/>
        </w:rPr>
        <w:t xml:space="preserve">are related to </w:t>
      </w:r>
      <w:r w:rsidR="00CF4AEC" w:rsidRPr="00B43581">
        <w:rPr>
          <w:sz w:val="24"/>
          <w:szCs w:val="24"/>
        </w:rPr>
        <w:t xml:space="preserve">TBI mechanism of injury </w:t>
      </w:r>
      <w:r w:rsidR="00140F7D">
        <w:rPr>
          <w:sz w:val="24"/>
          <w:szCs w:val="24"/>
        </w:rPr>
        <w:t xml:space="preserve">and </w:t>
      </w:r>
      <w:r w:rsidR="00B84311">
        <w:rPr>
          <w:sz w:val="24"/>
          <w:szCs w:val="24"/>
        </w:rPr>
        <w:t xml:space="preserve">differentiate </w:t>
      </w:r>
      <w:r w:rsidR="0030491A">
        <w:rPr>
          <w:sz w:val="24"/>
          <w:szCs w:val="24"/>
        </w:rPr>
        <w:t xml:space="preserve">those </w:t>
      </w:r>
      <w:r w:rsidR="00B84311">
        <w:rPr>
          <w:sz w:val="24"/>
          <w:szCs w:val="24"/>
        </w:rPr>
        <w:t>referred to</w:t>
      </w:r>
      <w:r w:rsidR="00CF4AEC" w:rsidRPr="00B43581">
        <w:rPr>
          <w:sz w:val="24"/>
          <w:szCs w:val="24"/>
        </w:rPr>
        <w:t xml:space="preserve"> a Level 1 Trauma Center</w:t>
      </w:r>
      <w:r w:rsidR="00615159">
        <w:rPr>
          <w:sz w:val="24"/>
          <w:szCs w:val="24"/>
        </w:rPr>
        <w:t>.</w:t>
      </w:r>
      <w:r w:rsidR="00E62E13">
        <w:rPr>
          <w:sz w:val="24"/>
          <w:szCs w:val="24"/>
          <w:vertAlign w:val="superscript"/>
        </w:rPr>
        <w:t>4</w:t>
      </w:r>
      <w:r w:rsidR="008136B8">
        <w:rPr>
          <w:sz w:val="24"/>
          <w:szCs w:val="24"/>
        </w:rPr>
        <w:t xml:space="preserve"> V</w:t>
      </w:r>
      <w:r w:rsidR="008136B8" w:rsidRPr="00503BFC">
        <w:rPr>
          <w:sz w:val="24"/>
          <w:szCs w:val="24"/>
        </w:rPr>
        <w:t xml:space="preserve">eterans with TBI </w:t>
      </w:r>
      <w:r w:rsidR="008136B8">
        <w:rPr>
          <w:sz w:val="24"/>
          <w:szCs w:val="24"/>
        </w:rPr>
        <w:t xml:space="preserve">were twice as likely to </w:t>
      </w:r>
      <w:r w:rsidR="008136B8" w:rsidRPr="00503BFC">
        <w:rPr>
          <w:sz w:val="24"/>
          <w:szCs w:val="24"/>
        </w:rPr>
        <w:t>progress faster to RF than those without TBI.</w:t>
      </w:r>
      <w:r w:rsidR="0030491A">
        <w:rPr>
          <w:sz w:val="24"/>
          <w:szCs w:val="24"/>
          <w:vertAlign w:val="superscript"/>
        </w:rPr>
        <w:t>5</w:t>
      </w:r>
      <w:r w:rsidR="008136B8" w:rsidRPr="00503BFC">
        <w:rPr>
          <w:sz w:val="24"/>
          <w:szCs w:val="24"/>
        </w:rPr>
        <w:t xml:space="preserve"> Black </w:t>
      </w:r>
      <w:r w:rsidR="008136B8">
        <w:rPr>
          <w:sz w:val="24"/>
          <w:szCs w:val="24"/>
        </w:rPr>
        <w:t>V</w:t>
      </w:r>
      <w:r w:rsidR="008136B8" w:rsidRPr="00503BFC">
        <w:rPr>
          <w:sz w:val="24"/>
          <w:szCs w:val="24"/>
        </w:rPr>
        <w:t xml:space="preserve">eterans and </w:t>
      </w:r>
      <w:r w:rsidR="008136B8">
        <w:rPr>
          <w:sz w:val="24"/>
          <w:szCs w:val="24"/>
        </w:rPr>
        <w:t xml:space="preserve">Veterans </w:t>
      </w:r>
      <w:r w:rsidR="008136B8" w:rsidRPr="00503BFC">
        <w:rPr>
          <w:sz w:val="24"/>
          <w:szCs w:val="24"/>
        </w:rPr>
        <w:t>in U</w:t>
      </w:r>
      <w:r w:rsidR="008136B8">
        <w:rPr>
          <w:sz w:val="24"/>
          <w:szCs w:val="24"/>
        </w:rPr>
        <w:t>.</w:t>
      </w:r>
      <w:r w:rsidR="008136B8" w:rsidRPr="00503BFC">
        <w:rPr>
          <w:sz w:val="24"/>
          <w:szCs w:val="24"/>
        </w:rPr>
        <w:t>S</w:t>
      </w:r>
      <w:r w:rsidR="008136B8">
        <w:rPr>
          <w:sz w:val="24"/>
          <w:szCs w:val="24"/>
        </w:rPr>
        <w:t>.</w:t>
      </w:r>
      <w:r w:rsidR="008136B8" w:rsidRPr="00503BFC">
        <w:rPr>
          <w:sz w:val="24"/>
          <w:szCs w:val="24"/>
        </w:rPr>
        <w:t xml:space="preserve"> </w:t>
      </w:r>
      <w:r w:rsidR="008136B8">
        <w:rPr>
          <w:sz w:val="24"/>
          <w:szCs w:val="24"/>
        </w:rPr>
        <w:t>T</w:t>
      </w:r>
      <w:r w:rsidR="008136B8" w:rsidRPr="00503BFC">
        <w:rPr>
          <w:sz w:val="24"/>
          <w:szCs w:val="24"/>
        </w:rPr>
        <w:t>erritories progressed faster to RF relative to non-Hispanic Whites and those in urban mainland areas.</w:t>
      </w:r>
      <w:r w:rsidR="0030491A">
        <w:rPr>
          <w:sz w:val="24"/>
          <w:szCs w:val="24"/>
          <w:vertAlign w:val="superscript"/>
        </w:rPr>
        <w:t>5</w:t>
      </w:r>
      <w:r w:rsidR="008136B8" w:rsidRPr="00503BFC">
        <w:rPr>
          <w:sz w:val="24"/>
          <w:szCs w:val="24"/>
        </w:rPr>
        <w:t xml:space="preserve"> Black </w:t>
      </w:r>
      <w:r w:rsidR="008136B8">
        <w:rPr>
          <w:sz w:val="24"/>
          <w:szCs w:val="24"/>
        </w:rPr>
        <w:t xml:space="preserve">and </w:t>
      </w:r>
      <w:r w:rsidR="008136B8" w:rsidRPr="00503BFC">
        <w:rPr>
          <w:sz w:val="24"/>
          <w:szCs w:val="24"/>
        </w:rPr>
        <w:t xml:space="preserve">Hispanic/Latino </w:t>
      </w:r>
      <w:r w:rsidR="008136B8">
        <w:rPr>
          <w:sz w:val="24"/>
          <w:szCs w:val="24"/>
        </w:rPr>
        <w:t>V</w:t>
      </w:r>
      <w:r w:rsidR="008136B8" w:rsidRPr="00503BFC">
        <w:rPr>
          <w:sz w:val="24"/>
          <w:szCs w:val="24"/>
        </w:rPr>
        <w:t xml:space="preserve">eterans </w:t>
      </w:r>
      <w:r w:rsidR="008136B8">
        <w:rPr>
          <w:sz w:val="24"/>
          <w:szCs w:val="24"/>
        </w:rPr>
        <w:t xml:space="preserve">on average </w:t>
      </w:r>
      <w:r w:rsidR="008136B8" w:rsidRPr="00503BFC">
        <w:rPr>
          <w:sz w:val="24"/>
          <w:szCs w:val="24"/>
        </w:rPr>
        <w:t xml:space="preserve">received </w:t>
      </w:r>
      <w:r w:rsidR="008136B8">
        <w:rPr>
          <w:sz w:val="24"/>
          <w:szCs w:val="24"/>
        </w:rPr>
        <w:t xml:space="preserve">$5,000 </w:t>
      </w:r>
      <w:r w:rsidR="008136B8" w:rsidRPr="00503BFC">
        <w:rPr>
          <w:sz w:val="24"/>
          <w:szCs w:val="24"/>
        </w:rPr>
        <w:t>fewer annual total VA resources</w:t>
      </w:r>
      <w:r w:rsidR="008136B8">
        <w:rPr>
          <w:sz w:val="24"/>
          <w:szCs w:val="24"/>
        </w:rPr>
        <w:t xml:space="preserve">; Veterans </w:t>
      </w:r>
      <w:r w:rsidR="008136B8" w:rsidRPr="00503BFC">
        <w:rPr>
          <w:sz w:val="24"/>
          <w:szCs w:val="24"/>
        </w:rPr>
        <w:t>in U</w:t>
      </w:r>
      <w:r w:rsidR="008136B8">
        <w:rPr>
          <w:sz w:val="24"/>
          <w:szCs w:val="24"/>
        </w:rPr>
        <w:t>.</w:t>
      </w:r>
      <w:r w:rsidR="008136B8" w:rsidRPr="00503BFC">
        <w:rPr>
          <w:sz w:val="24"/>
          <w:szCs w:val="24"/>
        </w:rPr>
        <w:t>S</w:t>
      </w:r>
      <w:r w:rsidR="008136B8">
        <w:rPr>
          <w:sz w:val="24"/>
          <w:szCs w:val="24"/>
        </w:rPr>
        <w:t>.</w:t>
      </w:r>
      <w:r w:rsidR="008136B8" w:rsidRPr="00503BFC">
        <w:rPr>
          <w:sz w:val="24"/>
          <w:szCs w:val="24"/>
        </w:rPr>
        <w:t xml:space="preserve"> </w:t>
      </w:r>
      <w:r w:rsidR="008136B8">
        <w:rPr>
          <w:sz w:val="24"/>
          <w:szCs w:val="24"/>
        </w:rPr>
        <w:t>T</w:t>
      </w:r>
      <w:r w:rsidR="008136B8" w:rsidRPr="00503BFC">
        <w:rPr>
          <w:sz w:val="24"/>
          <w:szCs w:val="24"/>
        </w:rPr>
        <w:t xml:space="preserve">erritories </w:t>
      </w:r>
      <w:r w:rsidR="008136B8">
        <w:rPr>
          <w:sz w:val="24"/>
          <w:szCs w:val="24"/>
        </w:rPr>
        <w:t>on average received about $4,000 less.</w:t>
      </w:r>
      <w:r w:rsidR="0030491A">
        <w:rPr>
          <w:sz w:val="24"/>
          <w:szCs w:val="24"/>
          <w:vertAlign w:val="superscript"/>
        </w:rPr>
        <w:t>5</w:t>
      </w:r>
    </w:p>
    <w:p w14:paraId="24856BDC" w14:textId="0CAF9C43" w:rsidR="00C363FD" w:rsidRPr="00624BE8" w:rsidRDefault="00B727CC" w:rsidP="008F3B99">
      <w:pPr>
        <w:pStyle w:val="ListParagraph"/>
        <w:numPr>
          <w:ilvl w:val="0"/>
          <w:numId w:val="17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contextualSpacing w:val="0"/>
        <w:jc w:val="both"/>
        <w:rPr>
          <w:sz w:val="24"/>
          <w:szCs w:val="24"/>
        </w:rPr>
      </w:pPr>
      <w:r w:rsidRPr="00624BE8">
        <w:rPr>
          <w:b/>
          <w:bCs/>
          <w:iCs/>
          <w:sz w:val="24"/>
          <w:szCs w:val="24"/>
        </w:rPr>
        <w:t>TBI</w:t>
      </w:r>
      <w:r w:rsidR="00A2131F" w:rsidRPr="00624BE8">
        <w:rPr>
          <w:b/>
          <w:bCs/>
          <w:iCs/>
          <w:sz w:val="24"/>
          <w:szCs w:val="24"/>
        </w:rPr>
        <w:t>,</w:t>
      </w:r>
      <w:r w:rsidRPr="00624BE8">
        <w:rPr>
          <w:b/>
          <w:bCs/>
          <w:iCs/>
          <w:sz w:val="24"/>
          <w:szCs w:val="24"/>
        </w:rPr>
        <w:t xml:space="preserve"> </w:t>
      </w:r>
      <w:r w:rsidR="00624BE8" w:rsidRPr="00624BE8">
        <w:rPr>
          <w:b/>
          <w:sz w:val="24"/>
          <w:szCs w:val="24"/>
        </w:rPr>
        <w:t>Dementia</w:t>
      </w:r>
      <w:r w:rsidR="00A2131F" w:rsidRPr="00624BE8">
        <w:rPr>
          <w:b/>
          <w:sz w:val="24"/>
          <w:szCs w:val="24"/>
        </w:rPr>
        <w:t xml:space="preserve">, </w:t>
      </w:r>
      <w:r w:rsidRPr="00624BE8">
        <w:rPr>
          <w:b/>
          <w:bCs/>
          <w:iCs/>
          <w:sz w:val="24"/>
          <w:szCs w:val="24"/>
        </w:rPr>
        <w:t>and Veterans Health Economics</w:t>
      </w:r>
      <w:r w:rsidRPr="00624BE8">
        <w:rPr>
          <w:bCs/>
          <w:iCs/>
          <w:sz w:val="24"/>
          <w:szCs w:val="24"/>
        </w:rPr>
        <w:t>.</w:t>
      </w:r>
      <w:r w:rsidR="00624BE8" w:rsidRPr="00624BE8">
        <w:rPr>
          <w:sz w:val="24"/>
          <w:szCs w:val="24"/>
          <w:vertAlign w:val="superscript"/>
        </w:rPr>
        <w:t>6</w:t>
      </w:r>
      <w:r w:rsidRPr="00624BE8">
        <w:rPr>
          <w:bCs/>
          <w:iCs/>
          <w:sz w:val="24"/>
          <w:szCs w:val="24"/>
        </w:rPr>
        <w:t xml:space="preserve"> </w:t>
      </w:r>
      <w:r w:rsidR="003839F4" w:rsidRPr="00624BE8">
        <w:rPr>
          <w:bCs/>
          <w:iCs/>
          <w:sz w:val="24"/>
          <w:szCs w:val="24"/>
        </w:rPr>
        <w:t>Veterans</w:t>
      </w:r>
      <w:r w:rsidR="00364FEC" w:rsidRPr="00624BE8">
        <w:rPr>
          <w:bCs/>
          <w:iCs/>
          <w:sz w:val="24"/>
          <w:szCs w:val="24"/>
        </w:rPr>
        <w:t xml:space="preserve"> w</w:t>
      </w:r>
      <w:r w:rsidR="003839F4" w:rsidRPr="00624BE8">
        <w:rPr>
          <w:bCs/>
          <w:iCs/>
          <w:sz w:val="24"/>
          <w:szCs w:val="24"/>
        </w:rPr>
        <w:t xml:space="preserve">ith TBI had higher annual total costs relative to Veterans without TBI or </w:t>
      </w:r>
      <w:r w:rsidR="00140F7D" w:rsidRPr="00624BE8">
        <w:rPr>
          <w:bCs/>
          <w:iCs/>
          <w:sz w:val="24"/>
          <w:szCs w:val="24"/>
        </w:rPr>
        <w:t xml:space="preserve">with </w:t>
      </w:r>
      <w:r w:rsidR="003839F4" w:rsidRPr="00624BE8">
        <w:rPr>
          <w:bCs/>
          <w:iCs/>
          <w:sz w:val="24"/>
          <w:szCs w:val="24"/>
        </w:rPr>
        <w:t>dementia. Veterans</w:t>
      </w:r>
      <w:r w:rsidR="00140F7D" w:rsidRPr="00624BE8">
        <w:rPr>
          <w:bCs/>
          <w:iCs/>
          <w:sz w:val="24"/>
          <w:szCs w:val="24"/>
        </w:rPr>
        <w:t xml:space="preserve"> </w:t>
      </w:r>
      <w:r w:rsidR="00BC1ACC" w:rsidRPr="00624BE8">
        <w:rPr>
          <w:bCs/>
          <w:iCs/>
          <w:sz w:val="24"/>
          <w:szCs w:val="24"/>
        </w:rPr>
        <w:t xml:space="preserve">&lt;65 </w:t>
      </w:r>
      <w:r w:rsidR="003839F4" w:rsidRPr="00624BE8">
        <w:rPr>
          <w:bCs/>
          <w:iCs/>
          <w:sz w:val="24"/>
          <w:szCs w:val="24"/>
        </w:rPr>
        <w:t>with comorbid TBI</w:t>
      </w:r>
      <w:r w:rsidR="00BC1ACC" w:rsidRPr="00624BE8">
        <w:rPr>
          <w:bCs/>
          <w:iCs/>
          <w:sz w:val="24"/>
          <w:szCs w:val="24"/>
        </w:rPr>
        <w:t xml:space="preserve"> and d</w:t>
      </w:r>
      <w:r w:rsidR="003839F4" w:rsidRPr="00624BE8">
        <w:rPr>
          <w:bCs/>
          <w:iCs/>
          <w:sz w:val="24"/>
          <w:szCs w:val="24"/>
        </w:rPr>
        <w:t xml:space="preserve">ementia had </w:t>
      </w:r>
      <w:r w:rsidR="00140F7D" w:rsidRPr="00624BE8">
        <w:rPr>
          <w:bCs/>
          <w:iCs/>
          <w:sz w:val="24"/>
          <w:szCs w:val="24"/>
        </w:rPr>
        <w:t>2 times</w:t>
      </w:r>
      <w:r w:rsidR="003839F4" w:rsidRPr="00624BE8">
        <w:rPr>
          <w:bCs/>
          <w:iCs/>
          <w:sz w:val="24"/>
          <w:szCs w:val="24"/>
        </w:rPr>
        <w:t xml:space="preserve"> the annual total costs of Veterans ≥65 without TBI or dementia</w:t>
      </w:r>
      <w:r w:rsidR="00140F7D" w:rsidRPr="00624BE8">
        <w:rPr>
          <w:bCs/>
          <w:iCs/>
          <w:sz w:val="24"/>
          <w:szCs w:val="24"/>
        </w:rPr>
        <w:t>.</w:t>
      </w:r>
      <w:r w:rsidR="003839F4" w:rsidRPr="00624BE8">
        <w:rPr>
          <w:bCs/>
          <w:iCs/>
          <w:sz w:val="24"/>
          <w:szCs w:val="24"/>
        </w:rPr>
        <w:t xml:space="preserve"> </w:t>
      </w:r>
      <w:r w:rsidR="005771C3" w:rsidRPr="00624BE8">
        <w:rPr>
          <w:bCs/>
          <w:iCs/>
          <w:sz w:val="24"/>
          <w:szCs w:val="24"/>
        </w:rPr>
        <w:t xml:space="preserve">Veterans </w:t>
      </w:r>
      <w:r w:rsidR="00A2131F" w:rsidRPr="00624BE8">
        <w:rPr>
          <w:bCs/>
          <w:iCs/>
          <w:sz w:val="24"/>
          <w:szCs w:val="24"/>
        </w:rPr>
        <w:t xml:space="preserve">&lt;65 </w:t>
      </w:r>
      <w:r w:rsidR="005771C3" w:rsidRPr="00624BE8">
        <w:rPr>
          <w:bCs/>
          <w:iCs/>
          <w:sz w:val="24"/>
          <w:szCs w:val="24"/>
        </w:rPr>
        <w:t xml:space="preserve">with TBI </w:t>
      </w:r>
      <w:r w:rsidR="00140F7D" w:rsidRPr="00624BE8">
        <w:rPr>
          <w:bCs/>
          <w:iCs/>
          <w:sz w:val="24"/>
          <w:szCs w:val="24"/>
        </w:rPr>
        <w:t>and</w:t>
      </w:r>
      <w:r w:rsidR="005771C3" w:rsidRPr="00624BE8">
        <w:rPr>
          <w:bCs/>
          <w:iCs/>
          <w:sz w:val="24"/>
          <w:szCs w:val="24"/>
        </w:rPr>
        <w:t xml:space="preserve"> dementia </w:t>
      </w:r>
      <w:r w:rsidR="00364FEC" w:rsidRPr="00624BE8">
        <w:rPr>
          <w:bCs/>
          <w:iCs/>
          <w:sz w:val="24"/>
          <w:szCs w:val="24"/>
        </w:rPr>
        <w:t xml:space="preserve">showed </w:t>
      </w:r>
      <w:r w:rsidR="00A2131F" w:rsidRPr="00624BE8">
        <w:rPr>
          <w:bCs/>
          <w:iCs/>
          <w:sz w:val="24"/>
          <w:szCs w:val="24"/>
        </w:rPr>
        <w:t xml:space="preserve">a shift from V.A. to </w:t>
      </w:r>
      <w:r w:rsidR="00364FEC" w:rsidRPr="00624BE8">
        <w:rPr>
          <w:bCs/>
          <w:iCs/>
          <w:sz w:val="24"/>
          <w:szCs w:val="24"/>
        </w:rPr>
        <w:t>non-VA inpatient facility placements. A</w:t>
      </w:r>
      <w:r w:rsidR="005771C3" w:rsidRPr="00624BE8">
        <w:rPr>
          <w:bCs/>
          <w:iCs/>
          <w:sz w:val="24"/>
          <w:szCs w:val="24"/>
        </w:rPr>
        <w:t xml:space="preserve">nnual VA </w:t>
      </w:r>
      <w:r w:rsidR="00364FEC" w:rsidRPr="00624BE8">
        <w:rPr>
          <w:bCs/>
          <w:iCs/>
          <w:sz w:val="24"/>
          <w:szCs w:val="24"/>
        </w:rPr>
        <w:t xml:space="preserve">and non-VA </w:t>
      </w:r>
      <w:r w:rsidR="005771C3" w:rsidRPr="00624BE8">
        <w:rPr>
          <w:bCs/>
          <w:iCs/>
          <w:sz w:val="24"/>
          <w:szCs w:val="24"/>
        </w:rPr>
        <w:t xml:space="preserve">facility inpatient costs </w:t>
      </w:r>
      <w:r w:rsidR="00364FEC" w:rsidRPr="00624BE8">
        <w:rPr>
          <w:bCs/>
          <w:iCs/>
          <w:sz w:val="24"/>
          <w:szCs w:val="24"/>
        </w:rPr>
        <w:t xml:space="preserve">are </w:t>
      </w:r>
      <w:r w:rsidR="005771C3" w:rsidRPr="00624BE8">
        <w:rPr>
          <w:bCs/>
          <w:iCs/>
          <w:sz w:val="24"/>
          <w:szCs w:val="24"/>
        </w:rPr>
        <w:t xml:space="preserve">higher </w:t>
      </w:r>
      <w:r w:rsidR="00364FEC" w:rsidRPr="00624BE8">
        <w:rPr>
          <w:bCs/>
          <w:iCs/>
          <w:sz w:val="24"/>
          <w:szCs w:val="24"/>
        </w:rPr>
        <w:t>than for</w:t>
      </w:r>
      <w:r w:rsidR="005771C3" w:rsidRPr="00624BE8">
        <w:rPr>
          <w:bCs/>
          <w:iCs/>
          <w:sz w:val="24"/>
          <w:szCs w:val="24"/>
        </w:rPr>
        <w:t xml:space="preserve"> Veterans without TBI or dementia. </w:t>
      </w:r>
      <w:r w:rsidR="004D51FA" w:rsidRPr="00624BE8">
        <w:rPr>
          <w:bCs/>
          <w:iCs/>
          <w:sz w:val="24"/>
          <w:szCs w:val="24"/>
        </w:rPr>
        <w:t xml:space="preserve">Veterans with </w:t>
      </w:r>
      <w:r w:rsidR="00615159" w:rsidRPr="00624BE8">
        <w:rPr>
          <w:bCs/>
          <w:iCs/>
          <w:sz w:val="24"/>
          <w:szCs w:val="24"/>
        </w:rPr>
        <w:t xml:space="preserve">TBI resulting from </w:t>
      </w:r>
      <w:r w:rsidR="00615159" w:rsidRPr="00624BE8">
        <w:rPr>
          <w:sz w:val="24"/>
          <w:szCs w:val="24"/>
        </w:rPr>
        <w:t>assault or gunshot ha</w:t>
      </w:r>
      <w:r w:rsidR="004D51FA" w:rsidRPr="00624BE8">
        <w:rPr>
          <w:sz w:val="24"/>
          <w:szCs w:val="24"/>
        </w:rPr>
        <w:t>ve</w:t>
      </w:r>
      <w:r w:rsidR="00615159" w:rsidRPr="00624BE8">
        <w:rPr>
          <w:sz w:val="24"/>
          <w:szCs w:val="24"/>
        </w:rPr>
        <w:t xml:space="preserve"> higher long-term VA costs </w:t>
      </w:r>
      <w:r w:rsidR="004D51FA" w:rsidRPr="00624BE8">
        <w:rPr>
          <w:sz w:val="24"/>
          <w:szCs w:val="24"/>
        </w:rPr>
        <w:t xml:space="preserve">compared </w:t>
      </w:r>
      <w:r w:rsidR="00615159" w:rsidRPr="00624BE8">
        <w:rPr>
          <w:sz w:val="24"/>
          <w:szCs w:val="24"/>
        </w:rPr>
        <w:t xml:space="preserve">to </w:t>
      </w:r>
      <w:r w:rsidR="004D51FA" w:rsidRPr="00624BE8">
        <w:rPr>
          <w:sz w:val="24"/>
          <w:szCs w:val="24"/>
        </w:rPr>
        <w:t xml:space="preserve">Veterans with </w:t>
      </w:r>
      <w:r w:rsidR="00615159" w:rsidRPr="00624BE8">
        <w:rPr>
          <w:sz w:val="24"/>
          <w:szCs w:val="24"/>
        </w:rPr>
        <w:t>other TBI mechanisms of injury.</w:t>
      </w:r>
      <w:r w:rsidR="00624BE8" w:rsidRPr="00624BE8">
        <w:rPr>
          <w:sz w:val="24"/>
          <w:szCs w:val="24"/>
          <w:vertAlign w:val="superscript"/>
        </w:rPr>
        <w:t>6</w:t>
      </w:r>
      <w:r w:rsidR="00624BE8" w:rsidRPr="00624BE8">
        <w:rPr>
          <w:sz w:val="24"/>
          <w:szCs w:val="24"/>
        </w:rPr>
        <w:t xml:space="preserve"> </w:t>
      </w:r>
      <w:r w:rsidR="004459BD" w:rsidRPr="00624BE8">
        <w:rPr>
          <w:sz w:val="24"/>
          <w:szCs w:val="24"/>
        </w:rPr>
        <w:t>T</w:t>
      </w:r>
      <w:r w:rsidR="001B5940" w:rsidRPr="00624BE8">
        <w:rPr>
          <w:sz w:val="24"/>
          <w:szCs w:val="24"/>
        </w:rPr>
        <w:t xml:space="preserve">he </w:t>
      </w:r>
      <w:r w:rsidR="00C363FD" w:rsidRPr="00624BE8">
        <w:rPr>
          <w:sz w:val="24"/>
          <w:szCs w:val="24"/>
        </w:rPr>
        <w:t xml:space="preserve">benefits </w:t>
      </w:r>
      <w:r w:rsidR="001B5940" w:rsidRPr="00624BE8">
        <w:rPr>
          <w:sz w:val="24"/>
          <w:szCs w:val="24"/>
        </w:rPr>
        <w:t>of MRI</w:t>
      </w:r>
      <w:r w:rsidR="00C363FD" w:rsidRPr="00624BE8">
        <w:rPr>
          <w:sz w:val="24"/>
          <w:szCs w:val="24"/>
        </w:rPr>
        <w:t xml:space="preserve"> </w:t>
      </w:r>
      <w:r w:rsidR="001B5940" w:rsidRPr="00624BE8">
        <w:rPr>
          <w:sz w:val="24"/>
          <w:szCs w:val="24"/>
        </w:rPr>
        <w:t xml:space="preserve">in diagnosing and managing TBI </w:t>
      </w:r>
      <w:r w:rsidR="00C363FD" w:rsidRPr="00624BE8">
        <w:rPr>
          <w:sz w:val="24"/>
          <w:szCs w:val="24"/>
        </w:rPr>
        <w:t xml:space="preserve">may </w:t>
      </w:r>
      <w:r w:rsidR="004459BD" w:rsidRPr="00624BE8">
        <w:rPr>
          <w:sz w:val="24"/>
          <w:szCs w:val="24"/>
        </w:rPr>
        <w:t xml:space="preserve">be </w:t>
      </w:r>
      <w:r w:rsidR="00C363FD" w:rsidRPr="00624BE8">
        <w:rPr>
          <w:sz w:val="24"/>
          <w:szCs w:val="24"/>
        </w:rPr>
        <w:t xml:space="preserve">cost-effective </w:t>
      </w:r>
      <w:r w:rsidR="004459BD" w:rsidRPr="00624BE8">
        <w:rPr>
          <w:sz w:val="24"/>
          <w:szCs w:val="24"/>
        </w:rPr>
        <w:t>despite its per unit costs.</w:t>
      </w:r>
      <w:r w:rsidR="00624BE8" w:rsidRPr="00624BE8">
        <w:rPr>
          <w:sz w:val="24"/>
          <w:szCs w:val="24"/>
          <w:vertAlign w:val="superscript"/>
        </w:rPr>
        <w:t>6</w:t>
      </w:r>
    </w:p>
    <w:p w14:paraId="13C0F993" w14:textId="68C84C6F" w:rsidR="00DE6405" w:rsidRPr="00A30748" w:rsidRDefault="008904FB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>
        <w:rPr>
          <w:b/>
          <w:color w:val="1F497D" w:themeColor="text2"/>
          <w:sz w:val="28"/>
          <w:szCs w:val="24"/>
        </w:rPr>
        <w:t xml:space="preserve">Clinical </w:t>
      </w:r>
      <w:r w:rsidR="00DE6405" w:rsidRPr="00A30748">
        <w:rPr>
          <w:b/>
          <w:color w:val="1F497D" w:themeColor="text2"/>
          <w:sz w:val="28"/>
          <w:szCs w:val="24"/>
        </w:rPr>
        <w:t>Impact</w:t>
      </w:r>
    </w:p>
    <w:p w14:paraId="109A8CDA" w14:textId="265D3598" w:rsidR="00F10469" w:rsidRDefault="000A5AE2" w:rsidP="00D41696">
      <w:pPr>
        <w:pStyle w:val="ListParagraph"/>
        <w:numPr>
          <w:ilvl w:val="0"/>
          <w:numId w:val="1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0A5AE2">
        <w:rPr>
          <w:rFonts w:eastAsia="Calibri" w:cstheme="minorHAnsi"/>
          <w:b/>
          <w:sz w:val="24"/>
          <w:szCs w:val="24"/>
        </w:rPr>
        <w:t>Better Access of Greater Need for TBI Service Utilization</w:t>
      </w:r>
      <w:r w:rsidR="00140F7D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 xml:space="preserve"> </w:t>
      </w:r>
      <w:r w:rsidR="00213F71" w:rsidRPr="00C31C6F">
        <w:rPr>
          <w:rFonts w:eastAsia="Calibri" w:cstheme="minorHAnsi"/>
          <w:sz w:val="24"/>
          <w:szCs w:val="24"/>
        </w:rPr>
        <w:t>Veterans with mTBI, especially those with blast-related mTBI, are receiving more VHA health care services than those without TBI</w:t>
      </w:r>
      <w:r w:rsidR="00BB32AD">
        <w:rPr>
          <w:rFonts w:eastAsia="Calibri" w:cstheme="minorHAnsi"/>
          <w:sz w:val="24"/>
          <w:szCs w:val="24"/>
        </w:rPr>
        <w:t xml:space="preserve">, which </w:t>
      </w:r>
      <w:r>
        <w:rPr>
          <w:rFonts w:eastAsia="Calibri" w:cstheme="minorHAnsi"/>
          <w:sz w:val="24"/>
          <w:szCs w:val="24"/>
        </w:rPr>
        <w:t xml:space="preserve">may be </w:t>
      </w:r>
      <w:r w:rsidR="00BB32AD">
        <w:rPr>
          <w:rFonts w:eastAsia="Calibri" w:cstheme="minorHAnsi"/>
          <w:sz w:val="24"/>
          <w:szCs w:val="24"/>
        </w:rPr>
        <w:t xml:space="preserve">an </w:t>
      </w:r>
      <w:r w:rsidR="00213F71" w:rsidRPr="00C31C6F">
        <w:rPr>
          <w:rFonts w:eastAsia="Calibri" w:cstheme="minorHAnsi"/>
          <w:sz w:val="24"/>
          <w:szCs w:val="24"/>
        </w:rPr>
        <w:t>indicat</w:t>
      </w:r>
      <w:r w:rsidR="00BB32AD">
        <w:rPr>
          <w:rFonts w:eastAsia="Calibri" w:cstheme="minorHAnsi"/>
          <w:sz w:val="24"/>
          <w:szCs w:val="24"/>
        </w:rPr>
        <w:t xml:space="preserve">or </w:t>
      </w:r>
      <w:r w:rsidR="00213F71" w:rsidRPr="00C31C6F">
        <w:rPr>
          <w:rFonts w:eastAsia="Calibri" w:cstheme="minorHAnsi"/>
          <w:sz w:val="24"/>
          <w:szCs w:val="24"/>
        </w:rPr>
        <w:t xml:space="preserve">that the </w:t>
      </w:r>
      <w:r>
        <w:rPr>
          <w:rFonts w:eastAsia="Calibri" w:cstheme="minorHAnsi"/>
          <w:sz w:val="24"/>
          <w:szCs w:val="24"/>
        </w:rPr>
        <w:t xml:space="preserve">VA’s </w:t>
      </w:r>
      <w:r w:rsidR="00213F71" w:rsidRPr="00C31C6F">
        <w:rPr>
          <w:rFonts w:eastAsia="Calibri" w:cstheme="minorHAnsi"/>
          <w:sz w:val="24"/>
          <w:szCs w:val="24"/>
        </w:rPr>
        <w:t xml:space="preserve">TBI care mission. </w:t>
      </w:r>
      <w:r w:rsidR="00F73A41">
        <w:rPr>
          <w:rFonts w:cstheme="minorHAnsi"/>
          <w:sz w:val="24"/>
          <w:szCs w:val="24"/>
        </w:rPr>
        <w:t>P</w:t>
      </w:r>
      <w:r w:rsidR="00F10469" w:rsidRPr="00C31C6F">
        <w:rPr>
          <w:rFonts w:cstheme="minorHAnsi"/>
          <w:sz w:val="24"/>
          <w:szCs w:val="24"/>
        </w:rPr>
        <w:t xml:space="preserve">rospective research is needed to better understand </w:t>
      </w:r>
      <w:r w:rsidR="00F73A41">
        <w:rPr>
          <w:rFonts w:cstheme="minorHAnsi"/>
          <w:sz w:val="24"/>
          <w:szCs w:val="24"/>
        </w:rPr>
        <w:t xml:space="preserve">how clinical service type and other treatment </w:t>
      </w:r>
      <w:r w:rsidR="00F10469" w:rsidRPr="00C31C6F">
        <w:rPr>
          <w:rFonts w:cstheme="minorHAnsi"/>
          <w:sz w:val="24"/>
          <w:szCs w:val="24"/>
        </w:rPr>
        <w:t>factors contribut</w:t>
      </w:r>
      <w:r w:rsidR="00F73A41">
        <w:rPr>
          <w:rFonts w:cstheme="minorHAnsi"/>
          <w:sz w:val="24"/>
          <w:szCs w:val="24"/>
        </w:rPr>
        <w:t>e</w:t>
      </w:r>
      <w:r w:rsidR="00F10469" w:rsidRPr="00C31C6F">
        <w:rPr>
          <w:rFonts w:cstheme="minorHAnsi"/>
          <w:sz w:val="24"/>
          <w:szCs w:val="24"/>
        </w:rPr>
        <w:t xml:space="preserve"> to disability after mTBI</w:t>
      </w:r>
      <w:r w:rsidR="00410C1E" w:rsidRPr="00C31C6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C3D7393" w14:textId="313117B2" w:rsidR="00AA32C5" w:rsidRDefault="000A5AE2" w:rsidP="00D41696">
      <w:pPr>
        <w:pStyle w:val="ListParagraph"/>
        <w:numPr>
          <w:ilvl w:val="0"/>
          <w:numId w:val="1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AA32C5">
        <w:rPr>
          <w:b/>
          <w:sz w:val="24"/>
          <w:szCs w:val="24"/>
        </w:rPr>
        <w:t>Novel Racial Findings in TBI, Dementia Risk and Disability Rating</w:t>
      </w:r>
      <w:r w:rsidRPr="00AA32C5">
        <w:rPr>
          <w:sz w:val="24"/>
          <w:szCs w:val="24"/>
        </w:rPr>
        <w:t xml:space="preserve">. </w:t>
      </w:r>
      <w:r w:rsidR="00A607EF" w:rsidRPr="00AA32C5">
        <w:rPr>
          <w:sz w:val="24"/>
          <w:szCs w:val="24"/>
        </w:rPr>
        <w:t xml:space="preserve">Racial differences </w:t>
      </w:r>
      <w:r w:rsidRPr="00AA32C5">
        <w:rPr>
          <w:sz w:val="24"/>
          <w:szCs w:val="24"/>
        </w:rPr>
        <w:t xml:space="preserve">in dementia risk </w:t>
      </w:r>
      <w:r w:rsidR="00A607EF" w:rsidRPr="00AA32C5">
        <w:rPr>
          <w:sz w:val="24"/>
          <w:szCs w:val="24"/>
        </w:rPr>
        <w:t xml:space="preserve">are novel and may be due to differences in dementia risk, dementia diagnosis rates, or potentially an interaction between race, APOE, and neurotrauma. </w:t>
      </w:r>
      <w:r w:rsidR="004905D0" w:rsidRPr="00AA32C5">
        <w:rPr>
          <w:rFonts w:cstheme="minorHAnsi"/>
          <w:sz w:val="24"/>
          <w:szCs w:val="24"/>
        </w:rPr>
        <w:t xml:space="preserve">Our results on socio-determinants of mechanism of injury in a Level 1 Trauma Center may have implications for prevention of assault and gunshot related TBI. </w:t>
      </w:r>
      <w:r w:rsidR="007F2A9D" w:rsidRPr="00AA32C5">
        <w:rPr>
          <w:rFonts w:cstheme="minorHAnsi"/>
          <w:sz w:val="24"/>
          <w:szCs w:val="24"/>
        </w:rPr>
        <w:t xml:space="preserve">The high prevalence of TBI service-connected disability in Pacific Islanders and Native Americans led us to acknowledge that the VA did not yet have a special geographic designation for Native American/Tribal Lands/ Reservations. We </w:t>
      </w:r>
      <w:r w:rsidR="00140F7D">
        <w:rPr>
          <w:rFonts w:cstheme="minorHAnsi"/>
          <w:sz w:val="24"/>
          <w:szCs w:val="24"/>
        </w:rPr>
        <w:t>worked with the</w:t>
      </w:r>
      <w:r w:rsidR="007F2A9D" w:rsidRPr="00AA32C5">
        <w:rPr>
          <w:rFonts w:cstheme="minorHAnsi"/>
          <w:sz w:val="24"/>
          <w:szCs w:val="24"/>
        </w:rPr>
        <w:t xml:space="preserve"> US Department of Labor to obtain zip codes for Tribal Elders and Leaders to incorporate into VA databases.</w:t>
      </w:r>
    </w:p>
    <w:p w14:paraId="429E2CAE" w14:textId="4730F077" w:rsidR="00667DB4" w:rsidRPr="00667DB4" w:rsidRDefault="007F2A9D" w:rsidP="00667DB4">
      <w:pPr>
        <w:pStyle w:val="ListParagraph"/>
        <w:numPr>
          <w:ilvl w:val="0"/>
          <w:numId w:val="1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AA32C5">
        <w:rPr>
          <w:rFonts w:cstheme="minorHAnsi"/>
          <w:b/>
          <w:sz w:val="24"/>
          <w:szCs w:val="24"/>
        </w:rPr>
        <w:t>TBI and Dementia Placements and Costs</w:t>
      </w:r>
      <w:r w:rsidRPr="00AA32C5">
        <w:rPr>
          <w:rFonts w:cstheme="minorHAnsi"/>
          <w:sz w:val="24"/>
          <w:szCs w:val="24"/>
        </w:rPr>
        <w:t>. F</w:t>
      </w:r>
      <w:r w:rsidR="000A5AE2" w:rsidRPr="00AA32C5">
        <w:rPr>
          <w:rFonts w:cstheme="minorHAnsi"/>
          <w:sz w:val="24"/>
          <w:szCs w:val="24"/>
        </w:rPr>
        <w:t xml:space="preserve">uture LIMBIC-CENC </w:t>
      </w:r>
      <w:r w:rsidRPr="00AA32C5">
        <w:rPr>
          <w:rFonts w:cstheme="minorHAnsi"/>
          <w:sz w:val="24"/>
          <w:szCs w:val="24"/>
        </w:rPr>
        <w:t xml:space="preserve">research will </w:t>
      </w:r>
      <w:r w:rsidR="000A5AE2" w:rsidRPr="00AA32C5">
        <w:rPr>
          <w:rFonts w:cstheme="minorHAnsi"/>
          <w:sz w:val="24"/>
          <w:szCs w:val="24"/>
        </w:rPr>
        <w:t>compare the quality of care and outcomes between VA and non-VA facilities, and the impact of shifting placements on VA costs.</w:t>
      </w:r>
      <w:r w:rsidRPr="00AA32C5">
        <w:rPr>
          <w:rFonts w:cstheme="minorHAnsi"/>
          <w:sz w:val="24"/>
          <w:szCs w:val="24"/>
        </w:rPr>
        <w:t xml:space="preserve"> </w:t>
      </w:r>
      <w:r w:rsidR="004905D0" w:rsidRPr="00AA32C5">
        <w:rPr>
          <w:rFonts w:cstheme="minorHAnsi"/>
          <w:sz w:val="24"/>
          <w:szCs w:val="24"/>
        </w:rPr>
        <w:t xml:space="preserve">Our results on the cost-effectiveness of MRI may have implications for its </w:t>
      </w:r>
      <w:r w:rsidRPr="00AA32C5">
        <w:rPr>
          <w:rFonts w:cstheme="minorHAnsi"/>
          <w:sz w:val="24"/>
          <w:szCs w:val="24"/>
        </w:rPr>
        <w:t xml:space="preserve">increased </w:t>
      </w:r>
      <w:r w:rsidR="004905D0" w:rsidRPr="00AA32C5">
        <w:rPr>
          <w:rFonts w:cstheme="minorHAnsi"/>
          <w:sz w:val="24"/>
          <w:szCs w:val="24"/>
        </w:rPr>
        <w:t>use in the diagnosis</w:t>
      </w:r>
      <w:r w:rsidR="004905D0" w:rsidRPr="00AA32C5">
        <w:rPr>
          <w:rFonts w:eastAsia="Times New Roman" w:cstheme="minorHAnsi"/>
          <w:sz w:val="24"/>
          <w:szCs w:val="24"/>
        </w:rPr>
        <w:t xml:space="preserve"> and management of </w:t>
      </w:r>
      <w:r w:rsidR="007F7876" w:rsidRPr="00AA32C5">
        <w:rPr>
          <w:rFonts w:eastAsia="Times New Roman" w:cstheme="minorHAnsi"/>
          <w:sz w:val="24"/>
          <w:szCs w:val="24"/>
        </w:rPr>
        <w:t>m</w:t>
      </w:r>
      <w:r w:rsidR="004905D0" w:rsidRPr="00AA32C5">
        <w:rPr>
          <w:rFonts w:eastAsia="Times New Roman" w:cstheme="minorHAnsi"/>
          <w:sz w:val="24"/>
          <w:szCs w:val="24"/>
        </w:rPr>
        <w:t>TBI.</w:t>
      </w:r>
    </w:p>
    <w:p w14:paraId="3B85E7D6" w14:textId="44EC0FE3" w:rsidR="00667DB4" w:rsidRPr="00667DB4" w:rsidRDefault="00667DB4" w:rsidP="00667DB4">
      <w:pPr>
        <w:pStyle w:val="ListParagraph"/>
        <w:numPr>
          <w:ilvl w:val="0"/>
          <w:numId w:val="1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contextualSpacing w:val="0"/>
        <w:jc w:val="both"/>
        <w:rPr>
          <w:sz w:val="24"/>
          <w:szCs w:val="24"/>
        </w:rPr>
      </w:pPr>
      <w:r w:rsidRPr="00575D63">
        <w:rPr>
          <w:b/>
          <w:sz w:val="24"/>
          <w:szCs w:val="24"/>
        </w:rPr>
        <w:t>Brain Health and Wellness Tool</w:t>
      </w:r>
      <w:r>
        <w:rPr>
          <w:sz w:val="24"/>
          <w:szCs w:val="24"/>
        </w:rPr>
        <w:t>. LIMBIC-CENC findings on preventable</w:t>
      </w:r>
      <w:r w:rsidRPr="0004138E">
        <w:rPr>
          <w:sz w:val="24"/>
          <w:szCs w:val="24"/>
        </w:rPr>
        <w:t xml:space="preserve"> behavioral health risk factors </w:t>
      </w:r>
      <w:r>
        <w:rPr>
          <w:sz w:val="24"/>
          <w:szCs w:val="24"/>
        </w:rPr>
        <w:t xml:space="preserve">after TBI, synthesized with the current research literature, led to the development, testing, and release of the LIMBIC-CENC a brain health and wellness survey that generates personalized recommendations to support </w:t>
      </w:r>
      <w:r>
        <w:rPr>
          <w:sz w:val="24"/>
          <w:szCs w:val="24"/>
        </w:rPr>
        <w:lastRenderedPageBreak/>
        <w:t xml:space="preserve">Service Members and Veterans efforts to identify and self-manage their health-related </w:t>
      </w:r>
      <w:r w:rsidRPr="0004138E">
        <w:rPr>
          <w:sz w:val="24"/>
          <w:szCs w:val="24"/>
        </w:rPr>
        <w:t xml:space="preserve">risk </w:t>
      </w:r>
      <w:r>
        <w:rPr>
          <w:sz w:val="24"/>
          <w:szCs w:val="24"/>
        </w:rPr>
        <w:t xml:space="preserve">factors after TBI. The </w:t>
      </w:r>
      <w:r w:rsidRPr="00CD48C7">
        <w:rPr>
          <w:sz w:val="24"/>
          <w:szCs w:val="24"/>
        </w:rPr>
        <w:t xml:space="preserve">LIMBIC-CENC’s </w:t>
      </w:r>
      <w:r w:rsidRPr="00890884">
        <w:rPr>
          <w:sz w:val="24"/>
          <w:szCs w:val="24"/>
        </w:rPr>
        <w:t>Brain Health and Wellness Video Series</w:t>
      </w:r>
      <w:r w:rsidRPr="00CD48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complements the survey tool and </w:t>
      </w:r>
      <w:r w:rsidRPr="00CD48C7">
        <w:rPr>
          <w:sz w:val="24"/>
          <w:szCs w:val="24"/>
        </w:rPr>
        <w:t>provides a</w:t>
      </w:r>
      <w:r>
        <w:rPr>
          <w:sz w:val="24"/>
          <w:szCs w:val="24"/>
        </w:rPr>
        <w:t xml:space="preserve"> series of</w:t>
      </w:r>
      <w:r w:rsidRPr="00CD48C7">
        <w:rPr>
          <w:sz w:val="24"/>
          <w:szCs w:val="24"/>
        </w:rPr>
        <w:t xml:space="preserve"> 4</w:t>
      </w:r>
      <w:r>
        <w:rPr>
          <w:sz w:val="24"/>
          <w:szCs w:val="24"/>
        </w:rPr>
        <w:t>-</w:t>
      </w:r>
      <w:r w:rsidRPr="00CD48C7">
        <w:rPr>
          <w:sz w:val="24"/>
          <w:szCs w:val="24"/>
        </w:rPr>
        <w:t>minute primer</w:t>
      </w:r>
      <w:r>
        <w:rPr>
          <w:sz w:val="24"/>
          <w:szCs w:val="24"/>
        </w:rPr>
        <w:t>s</w:t>
      </w:r>
      <w:r w:rsidRPr="00CD48C7">
        <w:rPr>
          <w:sz w:val="24"/>
          <w:szCs w:val="24"/>
        </w:rPr>
        <w:t xml:space="preserve"> on how to identify, prevent or self-manage TBI and </w:t>
      </w:r>
      <w:r w:rsidRPr="00890884">
        <w:rPr>
          <w:sz w:val="24"/>
          <w:szCs w:val="24"/>
        </w:rPr>
        <w:t xml:space="preserve">co-morbid risk factors that can </w:t>
      </w:r>
      <w:r>
        <w:rPr>
          <w:sz w:val="24"/>
          <w:szCs w:val="24"/>
        </w:rPr>
        <w:t>decrease</w:t>
      </w:r>
      <w:r w:rsidRPr="00890884">
        <w:rPr>
          <w:sz w:val="24"/>
          <w:szCs w:val="24"/>
        </w:rPr>
        <w:t xml:space="preserve"> dementia risk.</w:t>
      </w:r>
    </w:p>
    <w:p w14:paraId="0093E40D" w14:textId="77777777" w:rsidR="00B42BC7" w:rsidRPr="00A30748" w:rsidRDefault="00B42BC7" w:rsidP="00A30748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before="120" w:after="0" w:line="240" w:lineRule="auto"/>
        <w:rPr>
          <w:b/>
          <w:color w:val="1F497D" w:themeColor="text2"/>
          <w:sz w:val="28"/>
          <w:szCs w:val="24"/>
        </w:rPr>
      </w:pPr>
      <w:r w:rsidRPr="00A30748">
        <w:rPr>
          <w:b/>
          <w:color w:val="1F497D" w:themeColor="text2"/>
          <w:sz w:val="28"/>
          <w:szCs w:val="24"/>
        </w:rPr>
        <w:t>Primary Knowledge Translation Products</w:t>
      </w:r>
    </w:p>
    <w:p w14:paraId="058BEF40" w14:textId="000B1C8C" w:rsidR="00763AD5" w:rsidRPr="00EF11F6" w:rsidRDefault="00763AD5" w:rsidP="00763AD5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EF11F6">
        <w:rPr>
          <w:rFonts w:cstheme="minorHAnsi"/>
          <w:sz w:val="24"/>
          <w:szCs w:val="24"/>
        </w:rPr>
        <w:t>LIMBIC-CENC provides a repository of information on</w:t>
      </w:r>
      <w:r w:rsidR="004F31B1">
        <w:rPr>
          <w:rFonts w:cstheme="minorHAnsi"/>
          <w:sz w:val="24"/>
          <w:szCs w:val="24"/>
        </w:rPr>
        <w:t xml:space="preserve"> </w:t>
      </w:r>
      <w:hyperlink r:id="rId8" w:history="1">
        <w:r w:rsidR="0037107E">
          <w:rPr>
            <w:rStyle w:val="Hyperlink"/>
            <w:rFonts w:cstheme="minorHAnsi"/>
            <w:sz w:val="24"/>
            <w:szCs w:val="24"/>
          </w:rPr>
          <w:t>TBI and Epidemiology</w:t>
        </w:r>
      </w:hyperlink>
      <w:r w:rsidR="0037107E">
        <w:rPr>
          <w:rFonts w:cstheme="minorHAnsi"/>
          <w:sz w:val="24"/>
          <w:szCs w:val="24"/>
        </w:rPr>
        <w:t xml:space="preserve"> in the For TBI Researchers section</w:t>
      </w:r>
      <w:r w:rsidRPr="00EF11F6">
        <w:rPr>
          <w:rFonts w:cstheme="minorHAnsi"/>
          <w:sz w:val="24"/>
          <w:szCs w:val="24"/>
        </w:rPr>
        <w:t>.</w:t>
      </w:r>
    </w:p>
    <w:p w14:paraId="44A0825E" w14:textId="7C1FEC23" w:rsidR="00B42BC7" w:rsidRPr="00EF11F6" w:rsidRDefault="00763AD5" w:rsidP="00EF11F6">
      <w:pPr>
        <w:pStyle w:val="ListParagraph"/>
        <w:numPr>
          <w:ilvl w:val="0"/>
          <w:numId w:val="3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pacing w:after="120" w:line="240" w:lineRule="auto"/>
        <w:ind w:left="360"/>
        <w:contextualSpacing w:val="0"/>
        <w:jc w:val="both"/>
        <w:rPr>
          <w:sz w:val="24"/>
          <w:szCs w:val="24"/>
        </w:rPr>
      </w:pPr>
      <w:r w:rsidRPr="00EF11F6">
        <w:rPr>
          <w:sz w:val="24"/>
          <w:szCs w:val="24"/>
        </w:rPr>
        <w:t xml:space="preserve">The </w:t>
      </w:r>
      <w:hyperlink r:id="rId9" w:history="1">
        <w:r w:rsidRPr="00EF11F6">
          <w:rPr>
            <w:rStyle w:val="Hyperlink"/>
            <w:sz w:val="24"/>
            <w:szCs w:val="24"/>
          </w:rPr>
          <w:t>Abstract Veterans TBI Health and Outcomes Podcasts</w:t>
        </w:r>
      </w:hyperlink>
      <w:r w:rsidRPr="00EF11F6">
        <w:rPr>
          <w:sz w:val="24"/>
          <w:szCs w:val="24"/>
        </w:rPr>
        <w:t xml:space="preserve"> provides evidence-informed and real world patient, family and clinician perspectives on a</w:t>
      </w:r>
      <w:r w:rsidR="0037107E">
        <w:rPr>
          <w:sz w:val="24"/>
          <w:szCs w:val="24"/>
        </w:rPr>
        <w:t>ccessing and best leveraging DOD and VA health care services and resources.</w:t>
      </w:r>
    </w:p>
    <w:p w14:paraId="51144776" w14:textId="55543411" w:rsidR="00B42BC7" w:rsidRPr="00887506" w:rsidRDefault="00B42BC7" w:rsidP="008904FB">
      <w:pPr>
        <w:keepNext/>
        <w:keepLines/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before="120" w:after="120" w:line="240" w:lineRule="auto"/>
        <w:jc w:val="center"/>
        <w:rPr>
          <w:b/>
          <w:sz w:val="18"/>
          <w:szCs w:val="24"/>
        </w:rPr>
      </w:pPr>
      <w:r w:rsidRPr="00887506">
        <w:rPr>
          <w:b/>
          <w:sz w:val="18"/>
          <w:szCs w:val="24"/>
        </w:rPr>
        <w:t xml:space="preserve">TBI and </w:t>
      </w:r>
      <w:r w:rsidR="009A7862" w:rsidRPr="00887506">
        <w:rPr>
          <w:b/>
          <w:sz w:val="18"/>
          <w:szCs w:val="24"/>
        </w:rPr>
        <w:t>Veterans Health Services</w:t>
      </w:r>
      <w:r w:rsidRPr="00887506">
        <w:rPr>
          <w:b/>
          <w:sz w:val="18"/>
          <w:szCs w:val="24"/>
        </w:rPr>
        <w:t xml:space="preserve"> References</w:t>
      </w:r>
    </w:p>
    <w:p w14:paraId="7221FB38" w14:textId="534D8770" w:rsidR="00BD2B52" w:rsidRPr="00887506" w:rsidRDefault="00BD2B52" w:rsidP="0089527A">
      <w:pPr>
        <w:pStyle w:val="ListParagraph"/>
        <w:numPr>
          <w:ilvl w:val="0"/>
          <w:numId w:val="28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</w:rPr>
      </w:pPr>
      <w:r w:rsidRPr="00887506">
        <w:rPr>
          <w:sz w:val="18"/>
        </w:rPr>
        <w:t>Dismuke-Greer CE, Nolen TL, Nowak K, Hirsch S, Pogoda TK, Agyemang AA, Carlson KF, Belanger HG, Kenney K, Troyanskaya M, Walker WC: Understanding the impact of mild traumatic brain injury on veteran service-connected disability: results from Chronic Effects of Neurotrauma Consortium. Brain Inj</w:t>
      </w:r>
      <w:r w:rsidR="00667DB4">
        <w:rPr>
          <w:sz w:val="18"/>
        </w:rPr>
        <w:t xml:space="preserve"> </w:t>
      </w:r>
      <w:r w:rsidRPr="00887506">
        <w:rPr>
          <w:sz w:val="18"/>
        </w:rPr>
        <w:t xml:space="preserve">2018;32(10):1178-1187. doi: 10.1080/02699052.2018.1482428. PMID: 29889561. </w:t>
      </w:r>
    </w:p>
    <w:p w14:paraId="1E69FC5C" w14:textId="466E250B" w:rsidR="00763C0B" w:rsidRDefault="00E64986" w:rsidP="0089527A">
      <w:pPr>
        <w:pStyle w:val="ListParagraph"/>
        <w:numPr>
          <w:ilvl w:val="0"/>
          <w:numId w:val="28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</w:rPr>
      </w:pPr>
      <w:r w:rsidRPr="00763C0B">
        <w:rPr>
          <w:sz w:val="18"/>
        </w:rPr>
        <w:t>Dismuke-Greer C, Hirsch S, Carlson K, Pogoda T, Nakase-Richardson R, Bhatnagar S, Eapen B, Troyanskaya M, Miles S, Nolen T, Walker WC. Health Services Utilization, Health Care Costs, and Diagnoses by Mild Traumatic Brain Injury Exposure: A Chronic Effects of Neurotrauma Consortium Study. Arch Phys Med Rehabil. 2020</w:t>
      </w:r>
      <w:r w:rsidR="00667DB4">
        <w:rPr>
          <w:sz w:val="18"/>
        </w:rPr>
        <w:t>;</w:t>
      </w:r>
      <w:r w:rsidRPr="00763C0B">
        <w:rPr>
          <w:sz w:val="18"/>
        </w:rPr>
        <w:t>101(10):1720-1730. doi: 10.1016/j.apmr.2020.06.008. PMID: 32653582.</w:t>
      </w:r>
      <w:r w:rsidRPr="00887506">
        <w:rPr>
          <w:sz w:val="18"/>
        </w:rPr>
        <w:t xml:space="preserve"> </w:t>
      </w:r>
    </w:p>
    <w:p w14:paraId="3F0514B7" w14:textId="77777777" w:rsidR="00B84311" w:rsidRPr="006A1161" w:rsidRDefault="00B84311" w:rsidP="00B84311">
      <w:pPr>
        <w:pStyle w:val="ListParagraph"/>
        <w:numPr>
          <w:ilvl w:val="0"/>
          <w:numId w:val="28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4"/>
        </w:rPr>
      </w:pPr>
      <w:r w:rsidRPr="00887506">
        <w:rPr>
          <w:sz w:val="18"/>
          <w:szCs w:val="24"/>
        </w:rPr>
        <w:t xml:space="preserve">Kornblith E, Peltz CB, Xia F, Plassman B, Novakovic-Apopain T, Yaffe K. </w:t>
      </w:r>
      <w:r w:rsidRPr="00887506">
        <w:rPr>
          <w:bCs/>
          <w:sz w:val="18"/>
          <w:szCs w:val="24"/>
        </w:rPr>
        <w:t xml:space="preserve">Sex, Race, and Risk of Dementia Diagnosis after Traumatic Brain Injury among Older Veterans. </w:t>
      </w:r>
      <w:r w:rsidRPr="00887506">
        <w:rPr>
          <w:bCs/>
          <w:i/>
          <w:iCs/>
          <w:sz w:val="18"/>
          <w:szCs w:val="24"/>
        </w:rPr>
        <w:t xml:space="preserve">Neurology, </w:t>
      </w:r>
      <w:r w:rsidRPr="00887506">
        <w:rPr>
          <w:bCs/>
          <w:sz w:val="18"/>
          <w:szCs w:val="24"/>
        </w:rPr>
        <w:t>2020, 95(13).</w:t>
      </w:r>
    </w:p>
    <w:p w14:paraId="2AA78210" w14:textId="728DE6E0" w:rsidR="0098773D" w:rsidRPr="00887506" w:rsidRDefault="0098773D" w:rsidP="0089527A">
      <w:pPr>
        <w:pStyle w:val="ListParagraph"/>
        <w:numPr>
          <w:ilvl w:val="0"/>
          <w:numId w:val="28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</w:rPr>
      </w:pPr>
      <w:r w:rsidRPr="00887506">
        <w:rPr>
          <w:sz w:val="18"/>
        </w:rPr>
        <w:t>Dismuke-Greer, CE, SM Fakhry, MD Horner, TK Pogoda, MJ Pugh, M Gebregziabher, CL Hall, D Taber, and DA Spain. Ethnicity/race and service-connected disability disparities in civilian traumatic brain injury mechanism of injury and VHA health services costs in military veterans: evidence from a level 1 trauma center and VA medical center. Trauma</w:t>
      </w:r>
      <w:r w:rsidR="00667DB4">
        <w:rPr>
          <w:sz w:val="18"/>
        </w:rPr>
        <w:t xml:space="preserve"> </w:t>
      </w:r>
      <w:r w:rsidRPr="00887506">
        <w:rPr>
          <w:sz w:val="18"/>
        </w:rPr>
        <w:t>2020;8(3)</w:t>
      </w:r>
      <w:r w:rsidR="00667DB4">
        <w:rPr>
          <w:sz w:val="18"/>
        </w:rPr>
        <w:t>:</w:t>
      </w:r>
      <w:r w:rsidRPr="00887506">
        <w:rPr>
          <w:sz w:val="18"/>
        </w:rPr>
        <w:t>237-265. doi:10.1177/1460408620914436.</w:t>
      </w:r>
    </w:p>
    <w:p w14:paraId="1367F73C" w14:textId="179D8080" w:rsidR="009F0B6B" w:rsidRDefault="0052625A" w:rsidP="00E348AC">
      <w:pPr>
        <w:pStyle w:val="ListParagraph"/>
        <w:numPr>
          <w:ilvl w:val="0"/>
          <w:numId w:val="28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4"/>
        </w:rPr>
      </w:pPr>
      <w:r w:rsidRPr="006A1161">
        <w:rPr>
          <w:sz w:val="18"/>
          <w:szCs w:val="24"/>
        </w:rPr>
        <w:t>Dismuke-Greer CE, Esmaeili A, Karmarkar AM, Davis B, Garcia C, Pugh MJ, Yaffe K. Economic impact of comorbid TBI-dementia on VA facility and non-VA facility costs, 2000-2020. Brain Injury 2022</w:t>
      </w:r>
      <w:r w:rsidR="00667DB4">
        <w:rPr>
          <w:sz w:val="18"/>
          <w:szCs w:val="24"/>
        </w:rPr>
        <w:t>;36(5):673-682.</w:t>
      </w:r>
    </w:p>
    <w:p w14:paraId="06A67F58" w14:textId="77777777" w:rsidR="00F47225" w:rsidRDefault="00F47225" w:rsidP="00F47225">
      <w:pPr>
        <w:pStyle w:val="ListParagraph"/>
        <w:numPr>
          <w:ilvl w:val="0"/>
          <w:numId w:val="28"/>
        </w:num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F2F2F2" w:themeFill="background1" w:themeFillShade="F2"/>
        <w:spacing w:after="0" w:line="240" w:lineRule="auto"/>
        <w:ind w:left="360"/>
        <w:jc w:val="both"/>
        <w:rPr>
          <w:sz w:val="18"/>
          <w:szCs w:val="24"/>
        </w:rPr>
      </w:pPr>
      <w:r w:rsidRPr="00503BFC">
        <w:rPr>
          <w:sz w:val="18"/>
          <w:szCs w:val="24"/>
        </w:rPr>
        <w:t xml:space="preserve">Dismuke-Greer C, </w:t>
      </w:r>
      <w:proofErr w:type="spellStart"/>
      <w:r w:rsidRPr="00503BFC">
        <w:rPr>
          <w:sz w:val="18"/>
          <w:szCs w:val="24"/>
        </w:rPr>
        <w:t>Esmaeili</w:t>
      </w:r>
      <w:proofErr w:type="spellEnd"/>
      <w:r w:rsidRPr="00503BFC">
        <w:rPr>
          <w:sz w:val="18"/>
          <w:szCs w:val="24"/>
        </w:rPr>
        <w:t xml:space="preserve"> A, </w:t>
      </w:r>
      <w:proofErr w:type="spellStart"/>
      <w:r w:rsidRPr="00503BFC">
        <w:rPr>
          <w:sz w:val="18"/>
          <w:szCs w:val="24"/>
        </w:rPr>
        <w:t>Ozieh</w:t>
      </w:r>
      <w:proofErr w:type="spellEnd"/>
      <w:r w:rsidRPr="00503BFC">
        <w:rPr>
          <w:sz w:val="18"/>
          <w:szCs w:val="24"/>
        </w:rPr>
        <w:t xml:space="preserve"> MN, </w:t>
      </w:r>
      <w:proofErr w:type="spellStart"/>
      <w:r w:rsidRPr="00503BFC">
        <w:rPr>
          <w:sz w:val="18"/>
          <w:szCs w:val="24"/>
        </w:rPr>
        <w:t>Gujral</w:t>
      </w:r>
      <w:proofErr w:type="spellEnd"/>
      <w:r w:rsidRPr="00503BFC">
        <w:rPr>
          <w:sz w:val="18"/>
          <w:szCs w:val="24"/>
        </w:rPr>
        <w:t xml:space="preserve"> K, Garcia C, Del Negro A, Davis B, </w:t>
      </w:r>
      <w:proofErr w:type="spellStart"/>
      <w:r w:rsidRPr="00503BFC">
        <w:rPr>
          <w:sz w:val="18"/>
          <w:szCs w:val="24"/>
        </w:rPr>
        <w:t>Egede</w:t>
      </w:r>
      <w:proofErr w:type="spellEnd"/>
      <w:r w:rsidRPr="00503BFC">
        <w:rPr>
          <w:sz w:val="18"/>
          <w:szCs w:val="24"/>
        </w:rPr>
        <w:t xml:space="preserve"> L. Racial/Ethnic and Geographic Disparities in Comorbid Traumatic Brain Injury-Renal Failure in US Veterans and Associated Veterans Affairs Resource Costs, 2000-2020. J Racial </w:t>
      </w:r>
      <w:proofErr w:type="spellStart"/>
      <w:r w:rsidRPr="00503BFC">
        <w:rPr>
          <w:sz w:val="18"/>
          <w:szCs w:val="24"/>
        </w:rPr>
        <w:t>Ethn</w:t>
      </w:r>
      <w:proofErr w:type="spellEnd"/>
      <w:r w:rsidRPr="00503BFC">
        <w:rPr>
          <w:sz w:val="18"/>
          <w:szCs w:val="24"/>
        </w:rPr>
        <w:t xml:space="preserve"> Health Disparities. 2024 Apr;11(2):652-668. </w:t>
      </w:r>
      <w:proofErr w:type="spellStart"/>
      <w:r w:rsidRPr="00503BFC">
        <w:rPr>
          <w:sz w:val="18"/>
          <w:szCs w:val="24"/>
        </w:rPr>
        <w:t>doi</w:t>
      </w:r>
      <w:proofErr w:type="spellEnd"/>
      <w:r w:rsidRPr="00503BFC">
        <w:rPr>
          <w:sz w:val="18"/>
          <w:szCs w:val="24"/>
        </w:rPr>
        <w:t>: 10.1007/s40615-023-01550-4. Epub 2023 Mar 2. PMID: 36864369; PMCID: PMC10474245.</w:t>
      </w:r>
    </w:p>
    <w:p w14:paraId="08E9B2C8" w14:textId="77777777" w:rsidR="00391BE4" w:rsidRPr="00391BE4" w:rsidRDefault="00391BE4" w:rsidP="00535536">
      <w:pPr>
        <w:spacing w:after="0" w:line="240" w:lineRule="auto"/>
        <w:jc w:val="both"/>
        <w:rPr>
          <w:sz w:val="24"/>
          <w:szCs w:val="20"/>
        </w:rPr>
      </w:pPr>
    </w:p>
    <w:p w14:paraId="081072AD" w14:textId="4D2CFC95" w:rsidR="00F62AEC" w:rsidRPr="00A720FD" w:rsidRDefault="00A720FD" w:rsidP="00535536">
      <w:pPr>
        <w:pBdr>
          <w:top w:val="double" w:sz="6" w:space="1" w:color="003F72"/>
          <w:left w:val="double" w:sz="6" w:space="4" w:color="003F72"/>
          <w:bottom w:val="double" w:sz="6" w:space="1" w:color="003F72"/>
          <w:right w:val="double" w:sz="6" w:space="4" w:color="003F72"/>
        </w:pBdr>
        <w:shd w:val="clear" w:color="auto" w:fill="003F72"/>
        <w:spacing w:after="0" w:line="240" w:lineRule="auto"/>
        <w:jc w:val="both"/>
        <w:rPr>
          <w:sz w:val="18"/>
          <w:szCs w:val="20"/>
        </w:rPr>
      </w:pPr>
      <w:r w:rsidRPr="00CD6231">
        <w:rPr>
          <w:i/>
          <w:sz w:val="18"/>
          <w:szCs w:val="20"/>
        </w:rPr>
        <w:t>LIMBIC-</w:t>
      </w:r>
      <w:r w:rsidR="00E348AC" w:rsidRPr="00CD6231">
        <w:rPr>
          <w:i/>
          <w:sz w:val="18"/>
          <w:szCs w:val="20"/>
        </w:rPr>
        <w:t>CENC research and its KT products were supported financially by the Department of Defense, Chronic Effects of Neurotrauma Consortium (CENC) Award W81XWH-13-2-0095 and Department of Veterans Affairs CENC Award I01 CX001135.  Any opinions, findings, conclusions or recommendations expressed in this publication are those of the author(s) and do not necessarily</w:t>
      </w:r>
      <w:r w:rsidR="00E348AC" w:rsidRPr="00A720FD">
        <w:rPr>
          <w:i/>
          <w:sz w:val="18"/>
          <w:szCs w:val="20"/>
        </w:rPr>
        <w:t xml:space="preserve"> reflect the views of the U.S. Government or the U.S. Department of Veterans Affairs, and no official endorsement should be inferred.</w:t>
      </w:r>
    </w:p>
    <w:sectPr w:rsidR="00F62AEC" w:rsidRPr="00A720FD" w:rsidSect="001D5B1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38E2" w14:textId="77777777" w:rsidR="00E22A10" w:rsidRDefault="00E22A10" w:rsidP="004C0DF1">
      <w:pPr>
        <w:spacing w:after="0" w:line="240" w:lineRule="auto"/>
      </w:pPr>
      <w:r>
        <w:separator/>
      </w:r>
    </w:p>
  </w:endnote>
  <w:endnote w:type="continuationSeparator" w:id="0">
    <w:p w14:paraId="1CF3CF07" w14:textId="77777777" w:rsidR="00E22A10" w:rsidRDefault="00E22A10" w:rsidP="004C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16952611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B8F48" w14:textId="4B31592D" w:rsidR="008F3B99" w:rsidRPr="004C0DF1" w:rsidRDefault="008F3B99">
        <w:pPr>
          <w:pStyle w:val="Footer"/>
          <w:jc w:val="right"/>
          <w:rPr>
            <w:i/>
          </w:rPr>
        </w:pPr>
        <w:r w:rsidRPr="004C0DF1">
          <w:rPr>
            <w:i/>
          </w:rPr>
          <w:t xml:space="preserve">  LIMBIC-CENC Clinical Care Monograph</w:t>
        </w:r>
        <w:r>
          <w:rPr>
            <w:i/>
          </w:rPr>
          <w:t xml:space="preserve">      </w:t>
        </w:r>
        <w:r w:rsidRPr="004C0DF1">
          <w:rPr>
            <w:i/>
          </w:rPr>
          <w:t xml:space="preserve"> </w:t>
        </w:r>
        <w:r w:rsidRPr="004C0DF1">
          <w:rPr>
            <w:i/>
          </w:rPr>
          <w:fldChar w:fldCharType="begin"/>
        </w:r>
        <w:r w:rsidRPr="004C0DF1">
          <w:rPr>
            <w:i/>
          </w:rPr>
          <w:instrText xml:space="preserve"> PAGE   \* MERGEFORMAT </w:instrText>
        </w:r>
        <w:r w:rsidRPr="004C0DF1">
          <w:rPr>
            <w:i/>
          </w:rPr>
          <w:fldChar w:fldCharType="separate"/>
        </w:r>
        <w:r w:rsidRPr="004C0DF1">
          <w:rPr>
            <w:i/>
            <w:noProof/>
          </w:rPr>
          <w:t>2</w:t>
        </w:r>
        <w:r w:rsidRPr="004C0DF1">
          <w:rPr>
            <w:i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A40A2" w14:textId="77777777" w:rsidR="00E22A10" w:rsidRDefault="00E22A10" w:rsidP="004C0DF1">
      <w:pPr>
        <w:spacing w:after="0" w:line="240" w:lineRule="auto"/>
      </w:pPr>
      <w:r>
        <w:separator/>
      </w:r>
    </w:p>
  </w:footnote>
  <w:footnote w:type="continuationSeparator" w:id="0">
    <w:p w14:paraId="431A16CF" w14:textId="77777777" w:rsidR="00E22A10" w:rsidRDefault="00E22A10" w:rsidP="004C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F44"/>
    <w:multiLevelType w:val="hybridMultilevel"/>
    <w:tmpl w:val="43F6A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" w15:restartNumberingAfterBreak="0">
    <w:nsid w:val="0A0D52FF"/>
    <w:multiLevelType w:val="hybridMultilevel"/>
    <w:tmpl w:val="8D6E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799"/>
    <w:multiLevelType w:val="hybridMultilevel"/>
    <w:tmpl w:val="052CA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18B"/>
    <w:multiLevelType w:val="hybridMultilevel"/>
    <w:tmpl w:val="04860B12"/>
    <w:lvl w:ilvl="0" w:tplc="4824E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4A3788"/>
    <w:multiLevelType w:val="hybridMultilevel"/>
    <w:tmpl w:val="60703494"/>
    <w:lvl w:ilvl="0" w:tplc="837CD4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729"/>
    <w:multiLevelType w:val="hybridMultilevel"/>
    <w:tmpl w:val="C58632F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C7129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98653DD"/>
    <w:multiLevelType w:val="hybridMultilevel"/>
    <w:tmpl w:val="85B2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340DD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933FAD"/>
    <w:multiLevelType w:val="hybridMultilevel"/>
    <w:tmpl w:val="20BE676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20D7E07"/>
    <w:multiLevelType w:val="hybridMultilevel"/>
    <w:tmpl w:val="DE6449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26C3E"/>
    <w:multiLevelType w:val="hybridMultilevel"/>
    <w:tmpl w:val="9E187738"/>
    <w:lvl w:ilvl="0" w:tplc="8AE60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7E6CE2"/>
    <w:multiLevelType w:val="hybridMultilevel"/>
    <w:tmpl w:val="C7EA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01F6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0F55B1E"/>
    <w:multiLevelType w:val="hybridMultilevel"/>
    <w:tmpl w:val="A1F24992"/>
    <w:lvl w:ilvl="0" w:tplc="230255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F4B7E"/>
    <w:multiLevelType w:val="hybridMultilevel"/>
    <w:tmpl w:val="8FD20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00EC3"/>
    <w:multiLevelType w:val="hybridMultilevel"/>
    <w:tmpl w:val="D12060D8"/>
    <w:lvl w:ilvl="0" w:tplc="4AD073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B542A"/>
    <w:multiLevelType w:val="hybridMultilevel"/>
    <w:tmpl w:val="46AC9E94"/>
    <w:lvl w:ilvl="0" w:tplc="4014B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86AD1"/>
    <w:multiLevelType w:val="hybridMultilevel"/>
    <w:tmpl w:val="5A46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0822AD"/>
    <w:multiLevelType w:val="hybridMultilevel"/>
    <w:tmpl w:val="FD04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469BC"/>
    <w:multiLevelType w:val="hybridMultilevel"/>
    <w:tmpl w:val="674A11C6"/>
    <w:lvl w:ilvl="0" w:tplc="548CD4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A2C6A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342D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B202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BBC0E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C3029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5A06C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2DE30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20129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4802326B"/>
    <w:multiLevelType w:val="hybridMultilevel"/>
    <w:tmpl w:val="F05C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809E0"/>
    <w:multiLevelType w:val="hybridMultilevel"/>
    <w:tmpl w:val="4A26FF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4C4891"/>
    <w:multiLevelType w:val="hybridMultilevel"/>
    <w:tmpl w:val="2820AD16"/>
    <w:lvl w:ilvl="0" w:tplc="38E03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66222"/>
    <w:multiLevelType w:val="hybridMultilevel"/>
    <w:tmpl w:val="01962A98"/>
    <w:lvl w:ilvl="0" w:tplc="D452F50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73E1E4D"/>
    <w:multiLevelType w:val="hybridMultilevel"/>
    <w:tmpl w:val="39304C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6447FC"/>
    <w:multiLevelType w:val="hybridMultilevel"/>
    <w:tmpl w:val="BFF25F58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FB0438"/>
    <w:multiLevelType w:val="hybridMultilevel"/>
    <w:tmpl w:val="30CA1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47287"/>
    <w:multiLevelType w:val="hybridMultilevel"/>
    <w:tmpl w:val="CCB86670"/>
    <w:lvl w:ilvl="0" w:tplc="1D26A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B79A1"/>
    <w:multiLevelType w:val="hybridMultilevel"/>
    <w:tmpl w:val="C6D46AC0"/>
    <w:lvl w:ilvl="0" w:tplc="5CE06E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51D2F"/>
    <w:multiLevelType w:val="hybridMultilevel"/>
    <w:tmpl w:val="BA3042C8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70481"/>
    <w:multiLevelType w:val="multilevel"/>
    <w:tmpl w:val="EBD033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8F05D1"/>
    <w:multiLevelType w:val="hybridMultilevel"/>
    <w:tmpl w:val="8460DC3A"/>
    <w:lvl w:ilvl="0" w:tplc="AAF60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1BB6AB4"/>
    <w:multiLevelType w:val="hybridMultilevel"/>
    <w:tmpl w:val="78B65086"/>
    <w:lvl w:ilvl="0" w:tplc="A04AAC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33F78AA"/>
    <w:multiLevelType w:val="hybridMultilevel"/>
    <w:tmpl w:val="CC1CE3F4"/>
    <w:lvl w:ilvl="0" w:tplc="5A76F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76CB7"/>
    <w:multiLevelType w:val="hybridMultilevel"/>
    <w:tmpl w:val="FB963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5B7549"/>
    <w:multiLevelType w:val="hybridMultilevel"/>
    <w:tmpl w:val="92044A26"/>
    <w:lvl w:ilvl="0" w:tplc="38E0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7F4"/>
    <w:multiLevelType w:val="hybridMultilevel"/>
    <w:tmpl w:val="5D3A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12238"/>
    <w:multiLevelType w:val="hybridMultilevel"/>
    <w:tmpl w:val="E872F602"/>
    <w:lvl w:ilvl="0" w:tplc="D59A216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7FD15A59"/>
    <w:multiLevelType w:val="hybridMultilevel"/>
    <w:tmpl w:val="B31A91E0"/>
    <w:lvl w:ilvl="0" w:tplc="54A2559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3"/>
  </w:num>
  <w:num w:numId="5">
    <w:abstractNumId w:val="9"/>
  </w:num>
  <w:num w:numId="6">
    <w:abstractNumId w:val="18"/>
  </w:num>
  <w:num w:numId="7">
    <w:abstractNumId w:val="17"/>
  </w:num>
  <w:num w:numId="8">
    <w:abstractNumId w:val="34"/>
  </w:num>
  <w:num w:numId="9">
    <w:abstractNumId w:val="21"/>
  </w:num>
  <w:num w:numId="10">
    <w:abstractNumId w:val="30"/>
  </w:num>
  <w:num w:numId="11">
    <w:abstractNumId w:val="35"/>
  </w:num>
  <w:num w:numId="12">
    <w:abstractNumId w:val="36"/>
  </w:num>
  <w:num w:numId="13">
    <w:abstractNumId w:val="25"/>
  </w:num>
  <w:num w:numId="14">
    <w:abstractNumId w:val="23"/>
  </w:num>
  <w:num w:numId="15">
    <w:abstractNumId w:val="1"/>
  </w:num>
  <w:num w:numId="16">
    <w:abstractNumId w:val="29"/>
  </w:num>
  <w:num w:numId="17">
    <w:abstractNumId w:val="2"/>
  </w:num>
  <w:num w:numId="18">
    <w:abstractNumId w:val="31"/>
  </w:num>
  <w:num w:numId="19">
    <w:abstractNumId w:val="27"/>
  </w:num>
  <w:num w:numId="20">
    <w:abstractNumId w:val="16"/>
  </w:num>
  <w:num w:numId="21">
    <w:abstractNumId w:val="37"/>
  </w:num>
  <w:num w:numId="22">
    <w:abstractNumId w:val="12"/>
  </w:num>
  <w:num w:numId="23">
    <w:abstractNumId w:val="4"/>
  </w:num>
  <w:num w:numId="24">
    <w:abstractNumId w:val="22"/>
  </w:num>
  <w:num w:numId="25">
    <w:abstractNumId w:val="20"/>
  </w:num>
  <w:num w:numId="26">
    <w:abstractNumId w:val="0"/>
  </w:num>
  <w:num w:numId="27">
    <w:abstractNumId w:val="32"/>
  </w:num>
  <w:num w:numId="28">
    <w:abstractNumId w:val="3"/>
  </w:num>
  <w:num w:numId="29">
    <w:abstractNumId w:val="39"/>
  </w:num>
  <w:num w:numId="30">
    <w:abstractNumId w:val="24"/>
  </w:num>
  <w:num w:numId="31">
    <w:abstractNumId w:val="13"/>
  </w:num>
  <w:num w:numId="32">
    <w:abstractNumId w:val="19"/>
  </w:num>
  <w:num w:numId="33">
    <w:abstractNumId w:val="28"/>
  </w:num>
  <w:num w:numId="34">
    <w:abstractNumId w:val="11"/>
  </w:num>
  <w:num w:numId="35">
    <w:abstractNumId w:val="26"/>
  </w:num>
  <w:num w:numId="36">
    <w:abstractNumId w:val="38"/>
  </w:num>
  <w:num w:numId="37">
    <w:abstractNumId w:val="6"/>
  </w:num>
  <w:num w:numId="38">
    <w:abstractNumId w:val="8"/>
  </w:num>
  <w:num w:numId="39">
    <w:abstractNumId w:val="14"/>
  </w:num>
  <w:num w:numId="4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89"/>
    <w:rsid w:val="00000EDC"/>
    <w:rsid w:val="00001E93"/>
    <w:rsid w:val="00002A0E"/>
    <w:rsid w:val="00003A36"/>
    <w:rsid w:val="00006379"/>
    <w:rsid w:val="000066E5"/>
    <w:rsid w:val="000068B5"/>
    <w:rsid w:val="00010B91"/>
    <w:rsid w:val="00012DF3"/>
    <w:rsid w:val="00015CC9"/>
    <w:rsid w:val="00020E0E"/>
    <w:rsid w:val="0002436C"/>
    <w:rsid w:val="0002449A"/>
    <w:rsid w:val="000265DF"/>
    <w:rsid w:val="000304A8"/>
    <w:rsid w:val="000323B9"/>
    <w:rsid w:val="00034A79"/>
    <w:rsid w:val="00041A52"/>
    <w:rsid w:val="00045F0E"/>
    <w:rsid w:val="000470C1"/>
    <w:rsid w:val="0004716D"/>
    <w:rsid w:val="000519E3"/>
    <w:rsid w:val="000547AE"/>
    <w:rsid w:val="0005589F"/>
    <w:rsid w:val="00063091"/>
    <w:rsid w:val="00064F78"/>
    <w:rsid w:val="000659C9"/>
    <w:rsid w:val="00072A1A"/>
    <w:rsid w:val="00082C16"/>
    <w:rsid w:val="0008385F"/>
    <w:rsid w:val="00085407"/>
    <w:rsid w:val="00087270"/>
    <w:rsid w:val="00095602"/>
    <w:rsid w:val="000A0C7B"/>
    <w:rsid w:val="000A19A7"/>
    <w:rsid w:val="000A3761"/>
    <w:rsid w:val="000A4334"/>
    <w:rsid w:val="000A52B3"/>
    <w:rsid w:val="000A5AE2"/>
    <w:rsid w:val="000A73CA"/>
    <w:rsid w:val="000B4997"/>
    <w:rsid w:val="000B6C25"/>
    <w:rsid w:val="000C55B8"/>
    <w:rsid w:val="000D3586"/>
    <w:rsid w:val="000D7612"/>
    <w:rsid w:val="000E0E76"/>
    <w:rsid w:val="000E2D53"/>
    <w:rsid w:val="000E369B"/>
    <w:rsid w:val="000E6C53"/>
    <w:rsid w:val="000F476E"/>
    <w:rsid w:val="000F7DB4"/>
    <w:rsid w:val="0010090C"/>
    <w:rsid w:val="00102645"/>
    <w:rsid w:val="00102931"/>
    <w:rsid w:val="00103261"/>
    <w:rsid w:val="00106606"/>
    <w:rsid w:val="00107EAB"/>
    <w:rsid w:val="001100A4"/>
    <w:rsid w:val="00110466"/>
    <w:rsid w:val="00115ADD"/>
    <w:rsid w:val="00116955"/>
    <w:rsid w:val="00117655"/>
    <w:rsid w:val="001306C0"/>
    <w:rsid w:val="001320CF"/>
    <w:rsid w:val="00133391"/>
    <w:rsid w:val="00134BFA"/>
    <w:rsid w:val="00136FFD"/>
    <w:rsid w:val="0013782F"/>
    <w:rsid w:val="00140F7D"/>
    <w:rsid w:val="00141B76"/>
    <w:rsid w:val="00146148"/>
    <w:rsid w:val="001540D4"/>
    <w:rsid w:val="001608A6"/>
    <w:rsid w:val="00161164"/>
    <w:rsid w:val="0016215B"/>
    <w:rsid w:val="00165398"/>
    <w:rsid w:val="00165FB6"/>
    <w:rsid w:val="0017013C"/>
    <w:rsid w:val="00171782"/>
    <w:rsid w:val="00174384"/>
    <w:rsid w:val="00174634"/>
    <w:rsid w:val="001820A4"/>
    <w:rsid w:val="00185446"/>
    <w:rsid w:val="001862A6"/>
    <w:rsid w:val="001869E7"/>
    <w:rsid w:val="0019217E"/>
    <w:rsid w:val="00194743"/>
    <w:rsid w:val="00196581"/>
    <w:rsid w:val="0019683D"/>
    <w:rsid w:val="001A12DC"/>
    <w:rsid w:val="001A4895"/>
    <w:rsid w:val="001A4A33"/>
    <w:rsid w:val="001A624E"/>
    <w:rsid w:val="001A71D4"/>
    <w:rsid w:val="001B19EA"/>
    <w:rsid w:val="001B5940"/>
    <w:rsid w:val="001B72B0"/>
    <w:rsid w:val="001C02FD"/>
    <w:rsid w:val="001C1959"/>
    <w:rsid w:val="001C6F49"/>
    <w:rsid w:val="001C7A40"/>
    <w:rsid w:val="001D1C3A"/>
    <w:rsid w:val="001D58AE"/>
    <w:rsid w:val="001D5B1C"/>
    <w:rsid w:val="001D651F"/>
    <w:rsid w:val="001E2A1D"/>
    <w:rsid w:val="001E606A"/>
    <w:rsid w:val="001E6AEC"/>
    <w:rsid w:val="001F004B"/>
    <w:rsid w:val="001F300C"/>
    <w:rsid w:val="001F4778"/>
    <w:rsid w:val="001F47A4"/>
    <w:rsid w:val="001F49A4"/>
    <w:rsid w:val="00200D35"/>
    <w:rsid w:val="002043CA"/>
    <w:rsid w:val="00206F5B"/>
    <w:rsid w:val="0020735D"/>
    <w:rsid w:val="002074C0"/>
    <w:rsid w:val="0021275C"/>
    <w:rsid w:val="00213F71"/>
    <w:rsid w:val="00216618"/>
    <w:rsid w:val="00220622"/>
    <w:rsid w:val="0022210B"/>
    <w:rsid w:val="00222DD4"/>
    <w:rsid w:val="002259F8"/>
    <w:rsid w:val="0022797A"/>
    <w:rsid w:val="00230179"/>
    <w:rsid w:val="00233835"/>
    <w:rsid w:val="00235F0E"/>
    <w:rsid w:val="00237FD1"/>
    <w:rsid w:val="00241332"/>
    <w:rsid w:val="00241348"/>
    <w:rsid w:val="00242454"/>
    <w:rsid w:val="00250DEE"/>
    <w:rsid w:val="002717B1"/>
    <w:rsid w:val="00272029"/>
    <w:rsid w:val="00276442"/>
    <w:rsid w:val="00276EF7"/>
    <w:rsid w:val="00280D64"/>
    <w:rsid w:val="00281BEB"/>
    <w:rsid w:val="00283F8B"/>
    <w:rsid w:val="002908A7"/>
    <w:rsid w:val="002926F4"/>
    <w:rsid w:val="0029283E"/>
    <w:rsid w:val="0029288D"/>
    <w:rsid w:val="00292AC6"/>
    <w:rsid w:val="002962C4"/>
    <w:rsid w:val="002A1F41"/>
    <w:rsid w:val="002A3273"/>
    <w:rsid w:val="002A6556"/>
    <w:rsid w:val="002A7439"/>
    <w:rsid w:val="002A7A41"/>
    <w:rsid w:val="002B0952"/>
    <w:rsid w:val="002B0FDA"/>
    <w:rsid w:val="002B2DE1"/>
    <w:rsid w:val="002B3E26"/>
    <w:rsid w:val="002B643A"/>
    <w:rsid w:val="002B6A7D"/>
    <w:rsid w:val="002B78F9"/>
    <w:rsid w:val="002C5923"/>
    <w:rsid w:val="002C5BB4"/>
    <w:rsid w:val="002C76EE"/>
    <w:rsid w:val="002D2F07"/>
    <w:rsid w:val="002D6A71"/>
    <w:rsid w:val="002E21E7"/>
    <w:rsid w:val="002E3B79"/>
    <w:rsid w:val="002E4A40"/>
    <w:rsid w:val="002E6B07"/>
    <w:rsid w:val="002F70EF"/>
    <w:rsid w:val="00303D88"/>
    <w:rsid w:val="0030491A"/>
    <w:rsid w:val="00306C38"/>
    <w:rsid w:val="00306D15"/>
    <w:rsid w:val="00310E68"/>
    <w:rsid w:val="003127D3"/>
    <w:rsid w:val="00313460"/>
    <w:rsid w:val="0031536C"/>
    <w:rsid w:val="00317744"/>
    <w:rsid w:val="00317ECB"/>
    <w:rsid w:val="00323050"/>
    <w:rsid w:val="003312B8"/>
    <w:rsid w:val="0033478E"/>
    <w:rsid w:val="00337CE5"/>
    <w:rsid w:val="003409EA"/>
    <w:rsid w:val="00342252"/>
    <w:rsid w:val="003443F0"/>
    <w:rsid w:val="00344EAE"/>
    <w:rsid w:val="00352982"/>
    <w:rsid w:val="00353F6C"/>
    <w:rsid w:val="003540CF"/>
    <w:rsid w:val="00354844"/>
    <w:rsid w:val="00356328"/>
    <w:rsid w:val="003621B9"/>
    <w:rsid w:val="00364FEC"/>
    <w:rsid w:val="0037107E"/>
    <w:rsid w:val="00374413"/>
    <w:rsid w:val="0037625F"/>
    <w:rsid w:val="003839F4"/>
    <w:rsid w:val="003875A9"/>
    <w:rsid w:val="00387E0A"/>
    <w:rsid w:val="00391BE4"/>
    <w:rsid w:val="00394619"/>
    <w:rsid w:val="00396976"/>
    <w:rsid w:val="00397640"/>
    <w:rsid w:val="003A211F"/>
    <w:rsid w:val="003A5440"/>
    <w:rsid w:val="003A7859"/>
    <w:rsid w:val="003A7AD8"/>
    <w:rsid w:val="003B0891"/>
    <w:rsid w:val="003B524C"/>
    <w:rsid w:val="003B61D0"/>
    <w:rsid w:val="003B63B1"/>
    <w:rsid w:val="003C091D"/>
    <w:rsid w:val="003C1314"/>
    <w:rsid w:val="003C3116"/>
    <w:rsid w:val="003C6422"/>
    <w:rsid w:val="003D1901"/>
    <w:rsid w:val="003E2B08"/>
    <w:rsid w:val="003F0CBB"/>
    <w:rsid w:val="003F3A5D"/>
    <w:rsid w:val="003F5FB6"/>
    <w:rsid w:val="00400847"/>
    <w:rsid w:val="00403CC7"/>
    <w:rsid w:val="00404557"/>
    <w:rsid w:val="004066C6"/>
    <w:rsid w:val="0040696C"/>
    <w:rsid w:val="00410C1E"/>
    <w:rsid w:val="00415000"/>
    <w:rsid w:val="0041524F"/>
    <w:rsid w:val="00420979"/>
    <w:rsid w:val="00421559"/>
    <w:rsid w:val="00423CDB"/>
    <w:rsid w:val="00433BDE"/>
    <w:rsid w:val="00435368"/>
    <w:rsid w:val="0043786F"/>
    <w:rsid w:val="00440053"/>
    <w:rsid w:val="00442E5E"/>
    <w:rsid w:val="00444D4E"/>
    <w:rsid w:val="004459BD"/>
    <w:rsid w:val="00451F61"/>
    <w:rsid w:val="00456294"/>
    <w:rsid w:val="0046122E"/>
    <w:rsid w:val="00462ADF"/>
    <w:rsid w:val="00463C99"/>
    <w:rsid w:val="00467B82"/>
    <w:rsid w:val="00471DBC"/>
    <w:rsid w:val="00474E4C"/>
    <w:rsid w:val="00482573"/>
    <w:rsid w:val="004905D0"/>
    <w:rsid w:val="00497731"/>
    <w:rsid w:val="004A25FF"/>
    <w:rsid w:val="004B2490"/>
    <w:rsid w:val="004B7C98"/>
    <w:rsid w:val="004C0DF1"/>
    <w:rsid w:val="004C0EB3"/>
    <w:rsid w:val="004C4C5A"/>
    <w:rsid w:val="004D4798"/>
    <w:rsid w:val="004D51FA"/>
    <w:rsid w:val="004D5B13"/>
    <w:rsid w:val="004D77E0"/>
    <w:rsid w:val="004D7D6D"/>
    <w:rsid w:val="004E1722"/>
    <w:rsid w:val="004E249F"/>
    <w:rsid w:val="004F251D"/>
    <w:rsid w:val="004F31B1"/>
    <w:rsid w:val="004F36F7"/>
    <w:rsid w:val="004F412F"/>
    <w:rsid w:val="0050033A"/>
    <w:rsid w:val="005019B3"/>
    <w:rsid w:val="00502464"/>
    <w:rsid w:val="00504E37"/>
    <w:rsid w:val="00505E4E"/>
    <w:rsid w:val="00507DEA"/>
    <w:rsid w:val="00510027"/>
    <w:rsid w:val="00513C3F"/>
    <w:rsid w:val="005145A1"/>
    <w:rsid w:val="0052018F"/>
    <w:rsid w:val="005221C7"/>
    <w:rsid w:val="00523DF9"/>
    <w:rsid w:val="0052625A"/>
    <w:rsid w:val="00530BB8"/>
    <w:rsid w:val="00531483"/>
    <w:rsid w:val="00534CF9"/>
    <w:rsid w:val="00535536"/>
    <w:rsid w:val="005410E5"/>
    <w:rsid w:val="005417D8"/>
    <w:rsid w:val="00541A92"/>
    <w:rsid w:val="00541F34"/>
    <w:rsid w:val="0054227A"/>
    <w:rsid w:val="005427F4"/>
    <w:rsid w:val="00543DC2"/>
    <w:rsid w:val="0054452B"/>
    <w:rsid w:val="00544FFB"/>
    <w:rsid w:val="0055182C"/>
    <w:rsid w:val="005525D2"/>
    <w:rsid w:val="005543D0"/>
    <w:rsid w:val="00560E58"/>
    <w:rsid w:val="00563977"/>
    <w:rsid w:val="0056454A"/>
    <w:rsid w:val="00566F34"/>
    <w:rsid w:val="00567C71"/>
    <w:rsid w:val="00567E17"/>
    <w:rsid w:val="0057024D"/>
    <w:rsid w:val="00575D63"/>
    <w:rsid w:val="005771C3"/>
    <w:rsid w:val="00580FED"/>
    <w:rsid w:val="00583948"/>
    <w:rsid w:val="00584E22"/>
    <w:rsid w:val="005903F8"/>
    <w:rsid w:val="00594BEB"/>
    <w:rsid w:val="005977A5"/>
    <w:rsid w:val="005A1298"/>
    <w:rsid w:val="005A44F8"/>
    <w:rsid w:val="005A462D"/>
    <w:rsid w:val="005A5A78"/>
    <w:rsid w:val="005A6BAC"/>
    <w:rsid w:val="005B0CFE"/>
    <w:rsid w:val="005B0D64"/>
    <w:rsid w:val="005B23F4"/>
    <w:rsid w:val="005B365D"/>
    <w:rsid w:val="005B52AA"/>
    <w:rsid w:val="005B55D4"/>
    <w:rsid w:val="005C1BF0"/>
    <w:rsid w:val="005C46FC"/>
    <w:rsid w:val="005C61E0"/>
    <w:rsid w:val="005C7E00"/>
    <w:rsid w:val="005D2013"/>
    <w:rsid w:val="005D30A4"/>
    <w:rsid w:val="005D3FAC"/>
    <w:rsid w:val="005D4E22"/>
    <w:rsid w:val="005D56AD"/>
    <w:rsid w:val="005D6685"/>
    <w:rsid w:val="005D69A2"/>
    <w:rsid w:val="005E0361"/>
    <w:rsid w:val="005E0A71"/>
    <w:rsid w:val="005E186B"/>
    <w:rsid w:val="005E1FD9"/>
    <w:rsid w:val="005E2CF2"/>
    <w:rsid w:val="005E4F3E"/>
    <w:rsid w:val="005E5FC5"/>
    <w:rsid w:val="005E6504"/>
    <w:rsid w:val="005E7092"/>
    <w:rsid w:val="005E76F6"/>
    <w:rsid w:val="005E7CC5"/>
    <w:rsid w:val="005F5631"/>
    <w:rsid w:val="005F5F5D"/>
    <w:rsid w:val="005F76A3"/>
    <w:rsid w:val="00603A63"/>
    <w:rsid w:val="006044DC"/>
    <w:rsid w:val="00606D76"/>
    <w:rsid w:val="006140D5"/>
    <w:rsid w:val="00615159"/>
    <w:rsid w:val="00616C77"/>
    <w:rsid w:val="00617CBA"/>
    <w:rsid w:val="00624BE8"/>
    <w:rsid w:val="00626D42"/>
    <w:rsid w:val="006306E0"/>
    <w:rsid w:val="00633BBB"/>
    <w:rsid w:val="00634C04"/>
    <w:rsid w:val="00637976"/>
    <w:rsid w:val="006404EA"/>
    <w:rsid w:val="00642A96"/>
    <w:rsid w:val="00646787"/>
    <w:rsid w:val="00646D01"/>
    <w:rsid w:val="00650BC0"/>
    <w:rsid w:val="00651ABF"/>
    <w:rsid w:val="00651ED4"/>
    <w:rsid w:val="00652E6B"/>
    <w:rsid w:val="006660EB"/>
    <w:rsid w:val="00667DB4"/>
    <w:rsid w:val="00670F9E"/>
    <w:rsid w:val="0067249B"/>
    <w:rsid w:val="00673FD1"/>
    <w:rsid w:val="00685088"/>
    <w:rsid w:val="00686A4D"/>
    <w:rsid w:val="0069221D"/>
    <w:rsid w:val="0069364E"/>
    <w:rsid w:val="00693669"/>
    <w:rsid w:val="00694409"/>
    <w:rsid w:val="006954E2"/>
    <w:rsid w:val="00696669"/>
    <w:rsid w:val="006A1161"/>
    <w:rsid w:val="006A4669"/>
    <w:rsid w:val="006A56E4"/>
    <w:rsid w:val="006A7A16"/>
    <w:rsid w:val="006B21CE"/>
    <w:rsid w:val="006B24DB"/>
    <w:rsid w:val="006B6358"/>
    <w:rsid w:val="006B6CA2"/>
    <w:rsid w:val="006C2344"/>
    <w:rsid w:val="006C5834"/>
    <w:rsid w:val="006C6043"/>
    <w:rsid w:val="006E5B92"/>
    <w:rsid w:val="006F0F71"/>
    <w:rsid w:val="0070105A"/>
    <w:rsid w:val="0071748E"/>
    <w:rsid w:val="00721465"/>
    <w:rsid w:val="007246D8"/>
    <w:rsid w:val="007257CA"/>
    <w:rsid w:val="0073021E"/>
    <w:rsid w:val="00732F64"/>
    <w:rsid w:val="007348EC"/>
    <w:rsid w:val="00735532"/>
    <w:rsid w:val="007362E0"/>
    <w:rsid w:val="00743744"/>
    <w:rsid w:val="007442B8"/>
    <w:rsid w:val="00747371"/>
    <w:rsid w:val="00753D08"/>
    <w:rsid w:val="00755349"/>
    <w:rsid w:val="007613B1"/>
    <w:rsid w:val="007620C0"/>
    <w:rsid w:val="00763AD5"/>
    <w:rsid w:val="00763C0B"/>
    <w:rsid w:val="0076430B"/>
    <w:rsid w:val="00767081"/>
    <w:rsid w:val="007676CD"/>
    <w:rsid w:val="00770472"/>
    <w:rsid w:val="00771A30"/>
    <w:rsid w:val="00774347"/>
    <w:rsid w:val="00775205"/>
    <w:rsid w:val="0078260E"/>
    <w:rsid w:val="007847C0"/>
    <w:rsid w:val="0079062D"/>
    <w:rsid w:val="00790AE0"/>
    <w:rsid w:val="0079155A"/>
    <w:rsid w:val="00792F26"/>
    <w:rsid w:val="007937BC"/>
    <w:rsid w:val="0079502A"/>
    <w:rsid w:val="00796731"/>
    <w:rsid w:val="00797B10"/>
    <w:rsid w:val="007A4CAE"/>
    <w:rsid w:val="007A4FB8"/>
    <w:rsid w:val="007B5E8F"/>
    <w:rsid w:val="007B6305"/>
    <w:rsid w:val="007B7318"/>
    <w:rsid w:val="007C0C46"/>
    <w:rsid w:val="007C1D1D"/>
    <w:rsid w:val="007C5683"/>
    <w:rsid w:val="007C6A8C"/>
    <w:rsid w:val="007D103F"/>
    <w:rsid w:val="007D1EB9"/>
    <w:rsid w:val="007D2E0A"/>
    <w:rsid w:val="007D42F1"/>
    <w:rsid w:val="007D4C80"/>
    <w:rsid w:val="007D4F01"/>
    <w:rsid w:val="007D7506"/>
    <w:rsid w:val="007E0FE4"/>
    <w:rsid w:val="007E43BF"/>
    <w:rsid w:val="007E4678"/>
    <w:rsid w:val="007F15A9"/>
    <w:rsid w:val="007F23BD"/>
    <w:rsid w:val="007F2918"/>
    <w:rsid w:val="007F2A9D"/>
    <w:rsid w:val="007F3F41"/>
    <w:rsid w:val="007F5520"/>
    <w:rsid w:val="007F7876"/>
    <w:rsid w:val="008025DA"/>
    <w:rsid w:val="008042C8"/>
    <w:rsid w:val="00807E74"/>
    <w:rsid w:val="00810FCC"/>
    <w:rsid w:val="00811132"/>
    <w:rsid w:val="0081208D"/>
    <w:rsid w:val="008136B8"/>
    <w:rsid w:val="0081438E"/>
    <w:rsid w:val="00816216"/>
    <w:rsid w:val="00821EE3"/>
    <w:rsid w:val="0082265D"/>
    <w:rsid w:val="00823BFD"/>
    <w:rsid w:val="00824A03"/>
    <w:rsid w:val="00825225"/>
    <w:rsid w:val="008262BC"/>
    <w:rsid w:val="008279F1"/>
    <w:rsid w:val="00833450"/>
    <w:rsid w:val="00835A24"/>
    <w:rsid w:val="00843AF4"/>
    <w:rsid w:val="00844305"/>
    <w:rsid w:val="00844674"/>
    <w:rsid w:val="00845636"/>
    <w:rsid w:val="0084658B"/>
    <w:rsid w:val="00850257"/>
    <w:rsid w:val="0085105E"/>
    <w:rsid w:val="008528D3"/>
    <w:rsid w:val="0085398C"/>
    <w:rsid w:val="00855DEF"/>
    <w:rsid w:val="00857218"/>
    <w:rsid w:val="00857BB7"/>
    <w:rsid w:val="00857EA1"/>
    <w:rsid w:val="00860023"/>
    <w:rsid w:val="0086623A"/>
    <w:rsid w:val="00872391"/>
    <w:rsid w:val="00873E89"/>
    <w:rsid w:val="008748A6"/>
    <w:rsid w:val="008753AD"/>
    <w:rsid w:val="00875726"/>
    <w:rsid w:val="00887506"/>
    <w:rsid w:val="008904FB"/>
    <w:rsid w:val="00890884"/>
    <w:rsid w:val="00891A27"/>
    <w:rsid w:val="00891FCF"/>
    <w:rsid w:val="00892D6E"/>
    <w:rsid w:val="0089527A"/>
    <w:rsid w:val="00896D1A"/>
    <w:rsid w:val="008B140A"/>
    <w:rsid w:val="008B1943"/>
    <w:rsid w:val="008B19E6"/>
    <w:rsid w:val="008B1D59"/>
    <w:rsid w:val="008B6319"/>
    <w:rsid w:val="008C1F53"/>
    <w:rsid w:val="008C3826"/>
    <w:rsid w:val="008C48E6"/>
    <w:rsid w:val="008C68B0"/>
    <w:rsid w:val="008D0372"/>
    <w:rsid w:val="008D087B"/>
    <w:rsid w:val="008D0DCA"/>
    <w:rsid w:val="008D265A"/>
    <w:rsid w:val="008D44D9"/>
    <w:rsid w:val="008D4A10"/>
    <w:rsid w:val="008E20B3"/>
    <w:rsid w:val="008E71BB"/>
    <w:rsid w:val="008E793F"/>
    <w:rsid w:val="008F15DD"/>
    <w:rsid w:val="008F2CB3"/>
    <w:rsid w:val="008F3B99"/>
    <w:rsid w:val="008F7DE0"/>
    <w:rsid w:val="00905D0D"/>
    <w:rsid w:val="00907672"/>
    <w:rsid w:val="00916725"/>
    <w:rsid w:val="009169D9"/>
    <w:rsid w:val="00916F73"/>
    <w:rsid w:val="009202EC"/>
    <w:rsid w:val="0092224D"/>
    <w:rsid w:val="00923D89"/>
    <w:rsid w:val="009246B9"/>
    <w:rsid w:val="009247F9"/>
    <w:rsid w:val="00927472"/>
    <w:rsid w:val="00930C3A"/>
    <w:rsid w:val="00931F5C"/>
    <w:rsid w:val="009329A8"/>
    <w:rsid w:val="00934FF1"/>
    <w:rsid w:val="00941488"/>
    <w:rsid w:val="009453D5"/>
    <w:rsid w:val="00947849"/>
    <w:rsid w:val="00955878"/>
    <w:rsid w:val="009566DF"/>
    <w:rsid w:val="00956EE7"/>
    <w:rsid w:val="00960952"/>
    <w:rsid w:val="009624C7"/>
    <w:rsid w:val="00962762"/>
    <w:rsid w:val="00962F7C"/>
    <w:rsid w:val="0096324D"/>
    <w:rsid w:val="0096399C"/>
    <w:rsid w:val="00963C1F"/>
    <w:rsid w:val="00965ECC"/>
    <w:rsid w:val="009664BB"/>
    <w:rsid w:val="00972259"/>
    <w:rsid w:val="009727F3"/>
    <w:rsid w:val="00972D6D"/>
    <w:rsid w:val="0097492B"/>
    <w:rsid w:val="00974CAB"/>
    <w:rsid w:val="00983E7F"/>
    <w:rsid w:val="00984062"/>
    <w:rsid w:val="0098773D"/>
    <w:rsid w:val="009955A3"/>
    <w:rsid w:val="00995EE8"/>
    <w:rsid w:val="00995F9C"/>
    <w:rsid w:val="009978FE"/>
    <w:rsid w:val="009A0218"/>
    <w:rsid w:val="009A5ECB"/>
    <w:rsid w:val="009A7862"/>
    <w:rsid w:val="009B70FB"/>
    <w:rsid w:val="009C0855"/>
    <w:rsid w:val="009C412D"/>
    <w:rsid w:val="009C5837"/>
    <w:rsid w:val="009D66CB"/>
    <w:rsid w:val="009E5373"/>
    <w:rsid w:val="009E5B45"/>
    <w:rsid w:val="009E624D"/>
    <w:rsid w:val="009F0B6B"/>
    <w:rsid w:val="009F1225"/>
    <w:rsid w:val="009F131B"/>
    <w:rsid w:val="009F79BC"/>
    <w:rsid w:val="00A0135A"/>
    <w:rsid w:val="00A027CD"/>
    <w:rsid w:val="00A12125"/>
    <w:rsid w:val="00A20EBD"/>
    <w:rsid w:val="00A2131F"/>
    <w:rsid w:val="00A2184B"/>
    <w:rsid w:val="00A248D9"/>
    <w:rsid w:val="00A25403"/>
    <w:rsid w:val="00A2599C"/>
    <w:rsid w:val="00A30748"/>
    <w:rsid w:val="00A34821"/>
    <w:rsid w:val="00A4365B"/>
    <w:rsid w:val="00A43EDF"/>
    <w:rsid w:val="00A44E9B"/>
    <w:rsid w:val="00A459C3"/>
    <w:rsid w:val="00A478FA"/>
    <w:rsid w:val="00A53D33"/>
    <w:rsid w:val="00A54B95"/>
    <w:rsid w:val="00A5779C"/>
    <w:rsid w:val="00A607EF"/>
    <w:rsid w:val="00A607F7"/>
    <w:rsid w:val="00A60D0C"/>
    <w:rsid w:val="00A6760A"/>
    <w:rsid w:val="00A70221"/>
    <w:rsid w:val="00A720FD"/>
    <w:rsid w:val="00A74799"/>
    <w:rsid w:val="00A7536E"/>
    <w:rsid w:val="00A76B30"/>
    <w:rsid w:val="00A866D1"/>
    <w:rsid w:val="00A91675"/>
    <w:rsid w:val="00A92A7E"/>
    <w:rsid w:val="00A9364F"/>
    <w:rsid w:val="00A95BC7"/>
    <w:rsid w:val="00A972E0"/>
    <w:rsid w:val="00A97D10"/>
    <w:rsid w:val="00AA2049"/>
    <w:rsid w:val="00AA32C5"/>
    <w:rsid w:val="00AA611C"/>
    <w:rsid w:val="00AA7C6A"/>
    <w:rsid w:val="00AB0590"/>
    <w:rsid w:val="00AB0BB4"/>
    <w:rsid w:val="00AB33B8"/>
    <w:rsid w:val="00AB5686"/>
    <w:rsid w:val="00AC2B27"/>
    <w:rsid w:val="00AC2C44"/>
    <w:rsid w:val="00AC600B"/>
    <w:rsid w:val="00AC757E"/>
    <w:rsid w:val="00AD03FE"/>
    <w:rsid w:val="00AD0DDD"/>
    <w:rsid w:val="00AD1AAB"/>
    <w:rsid w:val="00AD3022"/>
    <w:rsid w:val="00AD774E"/>
    <w:rsid w:val="00AE0A17"/>
    <w:rsid w:val="00AE1044"/>
    <w:rsid w:val="00AE38DF"/>
    <w:rsid w:val="00AE48B0"/>
    <w:rsid w:val="00AF38EA"/>
    <w:rsid w:val="00AF3A81"/>
    <w:rsid w:val="00AF4D7A"/>
    <w:rsid w:val="00AF62C9"/>
    <w:rsid w:val="00AF7343"/>
    <w:rsid w:val="00B07586"/>
    <w:rsid w:val="00B10C87"/>
    <w:rsid w:val="00B12F82"/>
    <w:rsid w:val="00B14D98"/>
    <w:rsid w:val="00B17870"/>
    <w:rsid w:val="00B236D3"/>
    <w:rsid w:val="00B23ECD"/>
    <w:rsid w:val="00B279F5"/>
    <w:rsid w:val="00B30B68"/>
    <w:rsid w:val="00B30CF7"/>
    <w:rsid w:val="00B31D33"/>
    <w:rsid w:val="00B36B3F"/>
    <w:rsid w:val="00B36C3B"/>
    <w:rsid w:val="00B37D11"/>
    <w:rsid w:val="00B37DBB"/>
    <w:rsid w:val="00B40929"/>
    <w:rsid w:val="00B42BC7"/>
    <w:rsid w:val="00B43581"/>
    <w:rsid w:val="00B52B20"/>
    <w:rsid w:val="00B56055"/>
    <w:rsid w:val="00B56F12"/>
    <w:rsid w:val="00B64A66"/>
    <w:rsid w:val="00B70678"/>
    <w:rsid w:val="00B727CC"/>
    <w:rsid w:val="00B727FF"/>
    <w:rsid w:val="00B80D08"/>
    <w:rsid w:val="00B84311"/>
    <w:rsid w:val="00B90B77"/>
    <w:rsid w:val="00B92B6C"/>
    <w:rsid w:val="00B93A30"/>
    <w:rsid w:val="00BA04B8"/>
    <w:rsid w:val="00BA0B0D"/>
    <w:rsid w:val="00BA4151"/>
    <w:rsid w:val="00BA6147"/>
    <w:rsid w:val="00BA682B"/>
    <w:rsid w:val="00BB0218"/>
    <w:rsid w:val="00BB32AD"/>
    <w:rsid w:val="00BC1ACC"/>
    <w:rsid w:val="00BC2BFD"/>
    <w:rsid w:val="00BC4A12"/>
    <w:rsid w:val="00BC4B77"/>
    <w:rsid w:val="00BC6E8D"/>
    <w:rsid w:val="00BC7BE2"/>
    <w:rsid w:val="00BC7C51"/>
    <w:rsid w:val="00BD205C"/>
    <w:rsid w:val="00BD2B52"/>
    <w:rsid w:val="00BD4059"/>
    <w:rsid w:val="00BD6A02"/>
    <w:rsid w:val="00BD75EB"/>
    <w:rsid w:val="00BE0F13"/>
    <w:rsid w:val="00BE22F2"/>
    <w:rsid w:val="00BE7D53"/>
    <w:rsid w:val="00BF4C8A"/>
    <w:rsid w:val="00C07743"/>
    <w:rsid w:val="00C11B2B"/>
    <w:rsid w:val="00C12811"/>
    <w:rsid w:val="00C166FD"/>
    <w:rsid w:val="00C20252"/>
    <w:rsid w:val="00C22F70"/>
    <w:rsid w:val="00C237D2"/>
    <w:rsid w:val="00C27699"/>
    <w:rsid w:val="00C31165"/>
    <w:rsid w:val="00C31C6F"/>
    <w:rsid w:val="00C3291E"/>
    <w:rsid w:val="00C32D1F"/>
    <w:rsid w:val="00C342AD"/>
    <w:rsid w:val="00C363FD"/>
    <w:rsid w:val="00C375EC"/>
    <w:rsid w:val="00C45602"/>
    <w:rsid w:val="00C45C2B"/>
    <w:rsid w:val="00C52028"/>
    <w:rsid w:val="00C52A34"/>
    <w:rsid w:val="00C634C5"/>
    <w:rsid w:val="00C65DB0"/>
    <w:rsid w:val="00C665E2"/>
    <w:rsid w:val="00C66ADA"/>
    <w:rsid w:val="00C711E1"/>
    <w:rsid w:val="00C71D37"/>
    <w:rsid w:val="00C74C55"/>
    <w:rsid w:val="00C765E9"/>
    <w:rsid w:val="00C76B1E"/>
    <w:rsid w:val="00C76CF8"/>
    <w:rsid w:val="00C80AE4"/>
    <w:rsid w:val="00C8191B"/>
    <w:rsid w:val="00C83F3E"/>
    <w:rsid w:val="00C842DE"/>
    <w:rsid w:val="00C8454D"/>
    <w:rsid w:val="00C862E9"/>
    <w:rsid w:val="00C87323"/>
    <w:rsid w:val="00C90D50"/>
    <w:rsid w:val="00C90D72"/>
    <w:rsid w:val="00C91A36"/>
    <w:rsid w:val="00C947F4"/>
    <w:rsid w:val="00C97BBD"/>
    <w:rsid w:val="00CA6A00"/>
    <w:rsid w:val="00CB12EA"/>
    <w:rsid w:val="00CB1372"/>
    <w:rsid w:val="00CB1888"/>
    <w:rsid w:val="00CB374E"/>
    <w:rsid w:val="00CB6BB3"/>
    <w:rsid w:val="00CC3753"/>
    <w:rsid w:val="00CC500C"/>
    <w:rsid w:val="00CD0871"/>
    <w:rsid w:val="00CD48C7"/>
    <w:rsid w:val="00CD6231"/>
    <w:rsid w:val="00CE51CF"/>
    <w:rsid w:val="00CF1180"/>
    <w:rsid w:val="00CF4433"/>
    <w:rsid w:val="00CF4AEC"/>
    <w:rsid w:val="00CF5166"/>
    <w:rsid w:val="00CF55B2"/>
    <w:rsid w:val="00CF6AFF"/>
    <w:rsid w:val="00D04DDB"/>
    <w:rsid w:val="00D06992"/>
    <w:rsid w:val="00D1031C"/>
    <w:rsid w:val="00D107EF"/>
    <w:rsid w:val="00D120D4"/>
    <w:rsid w:val="00D1368C"/>
    <w:rsid w:val="00D140C5"/>
    <w:rsid w:val="00D14D07"/>
    <w:rsid w:val="00D1657B"/>
    <w:rsid w:val="00D16DD2"/>
    <w:rsid w:val="00D20A2F"/>
    <w:rsid w:val="00D268D8"/>
    <w:rsid w:val="00D31764"/>
    <w:rsid w:val="00D31876"/>
    <w:rsid w:val="00D37456"/>
    <w:rsid w:val="00D378D2"/>
    <w:rsid w:val="00D40CC6"/>
    <w:rsid w:val="00D40D3D"/>
    <w:rsid w:val="00D41696"/>
    <w:rsid w:val="00D42CFF"/>
    <w:rsid w:val="00D52071"/>
    <w:rsid w:val="00D53356"/>
    <w:rsid w:val="00D5538A"/>
    <w:rsid w:val="00D571C2"/>
    <w:rsid w:val="00D57A60"/>
    <w:rsid w:val="00D653B1"/>
    <w:rsid w:val="00D6799B"/>
    <w:rsid w:val="00D71604"/>
    <w:rsid w:val="00D73BCB"/>
    <w:rsid w:val="00D81701"/>
    <w:rsid w:val="00D82195"/>
    <w:rsid w:val="00D87027"/>
    <w:rsid w:val="00D9070E"/>
    <w:rsid w:val="00D9084F"/>
    <w:rsid w:val="00D93330"/>
    <w:rsid w:val="00D94B79"/>
    <w:rsid w:val="00D95D37"/>
    <w:rsid w:val="00D95D61"/>
    <w:rsid w:val="00D96964"/>
    <w:rsid w:val="00DA00D0"/>
    <w:rsid w:val="00DA50D0"/>
    <w:rsid w:val="00DB1855"/>
    <w:rsid w:val="00DB3411"/>
    <w:rsid w:val="00DB3BC4"/>
    <w:rsid w:val="00DB62D1"/>
    <w:rsid w:val="00DB7EA7"/>
    <w:rsid w:val="00DC5DF6"/>
    <w:rsid w:val="00DC752D"/>
    <w:rsid w:val="00DD3931"/>
    <w:rsid w:val="00DE1484"/>
    <w:rsid w:val="00DE5918"/>
    <w:rsid w:val="00DE6405"/>
    <w:rsid w:val="00DF0AEE"/>
    <w:rsid w:val="00DF5271"/>
    <w:rsid w:val="00DF69C3"/>
    <w:rsid w:val="00DF7ED7"/>
    <w:rsid w:val="00E05538"/>
    <w:rsid w:val="00E103A5"/>
    <w:rsid w:val="00E1507B"/>
    <w:rsid w:val="00E16568"/>
    <w:rsid w:val="00E22A10"/>
    <w:rsid w:val="00E24A31"/>
    <w:rsid w:val="00E250AC"/>
    <w:rsid w:val="00E263D7"/>
    <w:rsid w:val="00E278C0"/>
    <w:rsid w:val="00E33398"/>
    <w:rsid w:val="00E348AC"/>
    <w:rsid w:val="00E3790C"/>
    <w:rsid w:val="00E4162B"/>
    <w:rsid w:val="00E43D2C"/>
    <w:rsid w:val="00E44C4D"/>
    <w:rsid w:val="00E45D9E"/>
    <w:rsid w:val="00E515D6"/>
    <w:rsid w:val="00E51CC7"/>
    <w:rsid w:val="00E62E13"/>
    <w:rsid w:val="00E63AC4"/>
    <w:rsid w:val="00E64986"/>
    <w:rsid w:val="00E663E8"/>
    <w:rsid w:val="00E7575B"/>
    <w:rsid w:val="00E75ACB"/>
    <w:rsid w:val="00E76D68"/>
    <w:rsid w:val="00E77B7F"/>
    <w:rsid w:val="00E82393"/>
    <w:rsid w:val="00E823FF"/>
    <w:rsid w:val="00E82913"/>
    <w:rsid w:val="00E852F2"/>
    <w:rsid w:val="00E85BDE"/>
    <w:rsid w:val="00E86424"/>
    <w:rsid w:val="00E86B79"/>
    <w:rsid w:val="00E94F1B"/>
    <w:rsid w:val="00E96CB7"/>
    <w:rsid w:val="00E96D2D"/>
    <w:rsid w:val="00E971E7"/>
    <w:rsid w:val="00E97977"/>
    <w:rsid w:val="00EA0865"/>
    <w:rsid w:val="00EA0989"/>
    <w:rsid w:val="00EA2620"/>
    <w:rsid w:val="00EA5502"/>
    <w:rsid w:val="00EA659B"/>
    <w:rsid w:val="00EC238A"/>
    <w:rsid w:val="00EC3EF6"/>
    <w:rsid w:val="00EC51AD"/>
    <w:rsid w:val="00EC63CB"/>
    <w:rsid w:val="00EC76CF"/>
    <w:rsid w:val="00EC7BB7"/>
    <w:rsid w:val="00EC7F1F"/>
    <w:rsid w:val="00EC7FE1"/>
    <w:rsid w:val="00ED1325"/>
    <w:rsid w:val="00EE0E84"/>
    <w:rsid w:val="00EE18BC"/>
    <w:rsid w:val="00EE1CAF"/>
    <w:rsid w:val="00EE3862"/>
    <w:rsid w:val="00EF11F6"/>
    <w:rsid w:val="00EF2394"/>
    <w:rsid w:val="00EF2536"/>
    <w:rsid w:val="00EF2AC6"/>
    <w:rsid w:val="00EF543D"/>
    <w:rsid w:val="00F00C64"/>
    <w:rsid w:val="00F016B9"/>
    <w:rsid w:val="00F01B9F"/>
    <w:rsid w:val="00F027DB"/>
    <w:rsid w:val="00F03D90"/>
    <w:rsid w:val="00F05609"/>
    <w:rsid w:val="00F07701"/>
    <w:rsid w:val="00F10469"/>
    <w:rsid w:val="00F1057F"/>
    <w:rsid w:val="00F14368"/>
    <w:rsid w:val="00F14DD2"/>
    <w:rsid w:val="00F17AB8"/>
    <w:rsid w:val="00F256F0"/>
    <w:rsid w:val="00F2622F"/>
    <w:rsid w:val="00F27CBC"/>
    <w:rsid w:val="00F32BDD"/>
    <w:rsid w:val="00F32FF3"/>
    <w:rsid w:val="00F36B16"/>
    <w:rsid w:val="00F37B5E"/>
    <w:rsid w:val="00F438FD"/>
    <w:rsid w:val="00F44ED6"/>
    <w:rsid w:val="00F47225"/>
    <w:rsid w:val="00F51B0A"/>
    <w:rsid w:val="00F55322"/>
    <w:rsid w:val="00F6086B"/>
    <w:rsid w:val="00F62AEC"/>
    <w:rsid w:val="00F71842"/>
    <w:rsid w:val="00F71E2A"/>
    <w:rsid w:val="00F722A7"/>
    <w:rsid w:val="00F723B9"/>
    <w:rsid w:val="00F73A41"/>
    <w:rsid w:val="00F756C2"/>
    <w:rsid w:val="00F769D9"/>
    <w:rsid w:val="00F83A2E"/>
    <w:rsid w:val="00F84542"/>
    <w:rsid w:val="00F84B93"/>
    <w:rsid w:val="00F928BF"/>
    <w:rsid w:val="00F93118"/>
    <w:rsid w:val="00F932F3"/>
    <w:rsid w:val="00F9596C"/>
    <w:rsid w:val="00F96092"/>
    <w:rsid w:val="00F9647B"/>
    <w:rsid w:val="00FA3607"/>
    <w:rsid w:val="00FA6C3C"/>
    <w:rsid w:val="00FB02D4"/>
    <w:rsid w:val="00FB0CD1"/>
    <w:rsid w:val="00FB1608"/>
    <w:rsid w:val="00FB73C9"/>
    <w:rsid w:val="00FC1C28"/>
    <w:rsid w:val="00FC5736"/>
    <w:rsid w:val="00FD4281"/>
    <w:rsid w:val="00FD6DA3"/>
    <w:rsid w:val="00FE3AFC"/>
    <w:rsid w:val="00FE5176"/>
    <w:rsid w:val="00FE5505"/>
    <w:rsid w:val="00FF1121"/>
    <w:rsid w:val="00FF14A5"/>
    <w:rsid w:val="00FF30C2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F88D"/>
  <w15:chartTrackingRefBased/>
  <w15:docId w15:val="{20B0F19B-3F68-4361-B0B9-48F15C62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153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315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F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0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D205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05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0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0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05C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5C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930C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3F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3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B6C2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490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05D0"/>
  </w:style>
  <w:style w:type="character" w:customStyle="1" w:styleId="style-111">
    <w:name w:val="style-111"/>
    <w:rsid w:val="00A91675"/>
    <w:rPr>
      <w:rFonts w:ascii="Times New Roman" w:hAnsi="Times New Roman" w:cs="Times New Roman" w:hint="default"/>
      <w:sz w:val="22"/>
      <w:szCs w:val="22"/>
    </w:rPr>
  </w:style>
  <w:style w:type="character" w:customStyle="1" w:styleId="style-151">
    <w:name w:val="style-151"/>
    <w:rsid w:val="00A9167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style-161">
    <w:name w:val="style-161"/>
    <w:rsid w:val="00A9167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src1">
    <w:name w:val="src1"/>
    <w:rsid w:val="00020E0E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1C1959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F1"/>
  </w:style>
  <w:style w:type="character" w:customStyle="1" w:styleId="Heading1Char">
    <w:name w:val="Heading 1 Char"/>
    <w:basedOn w:val="DefaultParagraphFont"/>
    <w:link w:val="Heading1"/>
    <w:uiPriority w:val="9"/>
    <w:rsid w:val="0031536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1536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mbic-cenc.org/for-tbi-researchers/epidemiology-of-military-tbi-researche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mbic-cenc.org/for-service-members-and-veterans-with-tbi/the-abstract-veterans-tbi-health-and-outcomes-podca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William  C   RICVAMC</dc:creator>
  <cp:keywords/>
  <dc:description/>
  <cp:lastModifiedBy>Ronald Seel</cp:lastModifiedBy>
  <cp:revision>4</cp:revision>
  <cp:lastPrinted>2024-04-07T14:49:00Z</cp:lastPrinted>
  <dcterms:created xsi:type="dcterms:W3CDTF">2024-10-24T19:02:00Z</dcterms:created>
  <dcterms:modified xsi:type="dcterms:W3CDTF">2024-10-24T19:05:00Z</dcterms:modified>
</cp:coreProperties>
</file>